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94657709"/>
        <w:docPartObj>
          <w:docPartGallery w:val="Cover Pages"/>
          <w:docPartUnique/>
        </w:docPartObj>
      </w:sdtPr>
      <w:sdtEndPr>
        <w:rPr>
          <w:rStyle w:val="SubtleEmphasis"/>
          <w:caps/>
          <w:color w:val="454642" w:themeColor="accent1" w:themeShade="7F"/>
        </w:rPr>
      </w:sdtEndPr>
      <w:sdtContent>
        <w:p w14:paraId="2197306F" w14:textId="77777777" w:rsidR="008F5E34" w:rsidRDefault="008F5E34"/>
        <w:p w14:paraId="4029D430" w14:textId="77777777" w:rsidR="008F5E34" w:rsidRDefault="008F5E34">
          <w:pPr>
            <w:rPr>
              <w:rStyle w:val="SubtleEmphasis"/>
            </w:rPr>
          </w:pPr>
          <w:r>
            <w:rPr>
              <w:rFonts w:ascii="Helvetica" w:hAnsi="Helvetica" w:cs="Helvetica"/>
              <w:noProof/>
              <w:sz w:val="24"/>
              <w:szCs w:val="24"/>
            </w:rPr>
            <w:drawing>
              <wp:anchor distT="0" distB="0" distL="114300" distR="114300" simplePos="0" relativeHeight="251665408" behindDoc="0" locked="0" layoutInCell="1" allowOverlap="1" wp14:anchorId="609D2980" wp14:editId="084E03E5">
                <wp:simplePos x="0" y="0"/>
                <wp:positionH relativeFrom="column">
                  <wp:posOffset>1335442</wp:posOffset>
                </wp:positionH>
                <wp:positionV relativeFrom="paragraph">
                  <wp:posOffset>1278881</wp:posOffset>
                </wp:positionV>
                <wp:extent cx="3279066" cy="1732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91" cy="17407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82880" distR="182880" simplePos="0" relativeHeight="251664384" behindDoc="0" locked="0" layoutInCell="1" allowOverlap="1" wp14:anchorId="33F82D5A" wp14:editId="52F0A245">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91380" cy="1771015"/>
                    <wp:effectExtent l="0" t="0" r="3810" b="16510"/>
                    <wp:wrapSquare wrapText="bothSides"/>
                    <wp:docPr id="131" name="Text Box 131"/>
                    <wp:cNvGraphicFramePr/>
                    <a:graphic xmlns:a="http://schemas.openxmlformats.org/drawingml/2006/main">
                      <a:graphicData uri="http://schemas.microsoft.com/office/word/2010/wordprocessingShape">
                        <wps:wsp>
                          <wps:cNvSpPr txBox="1"/>
                          <wps:spPr>
                            <a:xfrm>
                              <a:off x="0" y="0"/>
                              <a:ext cx="4691380" cy="177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DE011" w14:textId="48976530" w:rsidR="008F5E34" w:rsidRDefault="00D55AA2">
                                <w:pPr>
                                  <w:pStyle w:val="NoSpacing"/>
                                  <w:spacing w:before="40" w:after="560" w:line="216" w:lineRule="auto"/>
                                  <w:rPr>
                                    <w:color w:val="8C8D86" w:themeColor="accent1"/>
                                    <w:sz w:val="72"/>
                                    <w:szCs w:val="72"/>
                                  </w:rPr>
                                </w:pPr>
                                <w:sdt>
                                  <w:sdtPr>
                                    <w:rPr>
                                      <w:color w:val="8C8D86"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83DE0">
                                      <w:rPr>
                                        <w:color w:val="8C8D86" w:themeColor="accent1"/>
                                        <w:sz w:val="72"/>
                                        <w:szCs w:val="72"/>
                                      </w:rPr>
                                      <w:t>Corporate Sustainability Report</w:t>
                                    </w:r>
                                  </w:sdtContent>
                                </w:sdt>
                              </w:p>
                              <w:sdt>
                                <w:sdtPr>
                                  <w:rPr>
                                    <w:caps/>
                                    <w:color w:val="335366"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699A8CB" w14:textId="77777777" w:rsidR="008F5E34" w:rsidRDefault="008F5E34">
                                    <w:pPr>
                                      <w:pStyle w:val="NoSpacing"/>
                                      <w:spacing w:before="40" w:after="40"/>
                                      <w:rPr>
                                        <w:caps/>
                                        <w:color w:val="335366" w:themeColor="accent5" w:themeShade="80"/>
                                        <w:sz w:val="28"/>
                                        <w:szCs w:val="28"/>
                                      </w:rPr>
                                    </w:pPr>
                                    <w:r>
                                      <w:rPr>
                                        <w:caps/>
                                        <w:color w:val="335366" w:themeColor="accent5" w:themeShade="80"/>
                                        <w:sz w:val="28"/>
                                        <w:szCs w:val="28"/>
                                      </w:rPr>
                                      <w:t>Delta Stone Products</w:t>
                                    </w:r>
                                  </w:p>
                                </w:sdtContent>
                              </w:sdt>
                              <w:sdt>
                                <w:sdtPr>
                                  <w:rPr>
                                    <w:caps/>
                                    <w:color w:val="77A2BB"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FED4B90" w14:textId="3E56E8A9" w:rsidR="008F5E34" w:rsidRDefault="00583DE0">
                                    <w:pPr>
                                      <w:pStyle w:val="NoSpacing"/>
                                      <w:spacing w:before="80" w:after="40"/>
                                      <w:rPr>
                                        <w:caps/>
                                        <w:color w:val="77A2BB" w:themeColor="accent5"/>
                                        <w:sz w:val="24"/>
                                        <w:szCs w:val="24"/>
                                      </w:rPr>
                                    </w:pPr>
                                    <w:r>
                                      <w:rPr>
                                        <w:caps/>
                                        <w:color w:val="77A2BB" w:themeColor="accent5"/>
                                        <w:sz w:val="24"/>
                                        <w:szCs w:val="24"/>
                                      </w:rPr>
                                      <w:t xml:space="preserve">For public </w:t>
                                    </w:r>
                                    <w:r w:rsidR="005851AE">
                                      <w:rPr>
                                        <w:caps/>
                                        <w:color w:val="77A2BB" w:themeColor="accent5"/>
                                        <w:sz w:val="24"/>
                                        <w:szCs w:val="24"/>
                                      </w:rPr>
                                      <w:t>Notice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3F82D5A" id="_x0000_t202" coordsize="21600,21600" o:spt="202" path="m,l,21600r21600,l21600,xe">
                    <v:stroke joinstyle="miter"/>
                    <v:path gradientshapeok="t" o:connecttype="rect"/>
                  </v:shapetype>
                  <v:shape id="Text Box 131" o:spid="_x0000_s1026" type="#_x0000_t202" style="position:absolute;margin-left:0;margin-top:0;width:369.4pt;height:139.45pt;z-index:25166438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" filled="f" stroked="f" strokeweight=".5pt">
                    <v:textbox style="mso-fit-shape-to-text:t" inset="0,0,0,0">
                      <w:txbxContent>
                        <w:p w14:paraId="304DE011" w14:textId="48976530" w:rsidR="008F5E34" w:rsidRDefault="004B44D4">
                          <w:pPr>
                            <w:pStyle w:val="NoSpacing"/>
                            <w:spacing w:before="40" w:after="560" w:line="216" w:lineRule="auto"/>
                            <w:rPr>
                              <w:color w:val="8C8D86" w:themeColor="accent1"/>
                              <w:sz w:val="72"/>
                              <w:szCs w:val="72"/>
                            </w:rPr>
                          </w:pPr>
                          <w:sdt>
                            <w:sdtPr>
                              <w:rPr>
                                <w:color w:val="8C8D86"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83DE0">
                                <w:rPr>
                                  <w:color w:val="8C8D86" w:themeColor="accent1"/>
                                  <w:sz w:val="72"/>
                                  <w:szCs w:val="72"/>
                                </w:rPr>
                                <w:t>Corporate Sustainability Report</w:t>
                              </w:r>
                            </w:sdtContent>
                          </w:sdt>
                        </w:p>
                        <w:sdt>
                          <w:sdtPr>
                            <w:rPr>
                              <w:caps/>
                              <w:color w:val="335366"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699A8CB" w14:textId="77777777" w:rsidR="008F5E34" w:rsidRDefault="008F5E34">
                              <w:pPr>
                                <w:pStyle w:val="NoSpacing"/>
                                <w:spacing w:before="40" w:after="40"/>
                                <w:rPr>
                                  <w:caps/>
                                  <w:color w:val="335366" w:themeColor="accent5" w:themeShade="80"/>
                                  <w:sz w:val="28"/>
                                  <w:szCs w:val="28"/>
                                </w:rPr>
                              </w:pPr>
                              <w:r>
                                <w:rPr>
                                  <w:caps/>
                                  <w:color w:val="335366" w:themeColor="accent5" w:themeShade="80"/>
                                  <w:sz w:val="28"/>
                                  <w:szCs w:val="28"/>
                                </w:rPr>
                                <w:t>Delta Stone Products</w:t>
                              </w:r>
                            </w:p>
                          </w:sdtContent>
                        </w:sdt>
                        <w:sdt>
                          <w:sdtPr>
                            <w:rPr>
                              <w:caps/>
                              <w:color w:val="77A2BB"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FED4B90" w14:textId="3E56E8A9" w:rsidR="008F5E34" w:rsidRDefault="00583DE0">
                              <w:pPr>
                                <w:pStyle w:val="NoSpacing"/>
                                <w:spacing w:before="80" w:after="40"/>
                                <w:rPr>
                                  <w:caps/>
                                  <w:color w:val="77A2BB" w:themeColor="accent5"/>
                                  <w:sz w:val="24"/>
                                  <w:szCs w:val="24"/>
                                </w:rPr>
                              </w:pPr>
                              <w:r>
                                <w:rPr>
                                  <w:caps/>
                                  <w:color w:val="77A2BB" w:themeColor="accent5"/>
                                  <w:sz w:val="24"/>
                                  <w:szCs w:val="24"/>
                                </w:rPr>
                                <w:t xml:space="preserve">For public </w:t>
                              </w:r>
                              <w:r w:rsidR="005851AE">
                                <w:rPr>
                                  <w:caps/>
                                  <w:color w:val="77A2BB" w:themeColor="accent5"/>
                                  <w:sz w:val="24"/>
                                  <w:szCs w:val="24"/>
                                </w:rPr>
                                <w:t>Notice</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3360" behindDoc="0" locked="0" layoutInCell="1" allowOverlap="1" wp14:anchorId="748E2354" wp14:editId="0BEE4DCC">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68EB0A99" w14:textId="76517916" w:rsidR="008F5E34" w:rsidRDefault="004F0EEF">
                                    <w:pPr>
                                      <w:pStyle w:val="NoSpacing"/>
                                      <w:jc w:val="right"/>
                                      <w:rPr>
                                        <w:color w:val="FFFFFF" w:themeColor="background1"/>
                                        <w:sz w:val="24"/>
                                        <w:szCs w:val="24"/>
                                      </w:rPr>
                                    </w:pPr>
                                    <w:r>
                                      <w:rPr>
                                        <w:color w:val="FFFFFF" w:themeColor="background1"/>
                                        <w:sz w:val="24"/>
                                        <w:szCs w:val="24"/>
                                      </w:rPr>
                                      <w:t>20</w:t>
                                    </w:r>
                                    <w:r w:rsidR="002E0983">
                                      <w:rPr>
                                        <w:color w:val="FFFFFF" w:themeColor="background1"/>
                                        <w:sz w:val="24"/>
                                        <w:szCs w:val="24"/>
                                      </w:rPr>
                                      <w:t>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48E2354" id="Rectangle 132" o:spid="_x0000_s1027"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" fillcolor="#8c8d86 [3204]" stroked="f" strokeweight="2.75pt" insetpen="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68EB0A99" w14:textId="76517916" w:rsidR="008F5E34" w:rsidRDefault="004F0EEF">
                              <w:pPr>
                                <w:pStyle w:val="NoSpacing"/>
                                <w:jc w:val="right"/>
                                <w:rPr>
                                  <w:color w:val="FFFFFF" w:themeColor="background1"/>
                                  <w:sz w:val="24"/>
                                  <w:szCs w:val="24"/>
                                </w:rPr>
                              </w:pPr>
                              <w:r>
                                <w:rPr>
                                  <w:color w:val="FFFFFF" w:themeColor="background1"/>
                                  <w:sz w:val="24"/>
                                  <w:szCs w:val="24"/>
                                </w:rPr>
                                <w:t>20</w:t>
                              </w:r>
                              <w:r w:rsidR="002E0983">
                                <w:rPr>
                                  <w:color w:val="FFFFFF" w:themeColor="background1"/>
                                  <w:sz w:val="24"/>
                                  <w:szCs w:val="24"/>
                                </w:rPr>
                                <w:t>20</w:t>
                              </w:r>
                            </w:p>
                          </w:sdtContent>
                        </w:sdt>
                      </w:txbxContent>
                    </v:textbox>
                    <w10:wrap anchorx="margin" anchory="page"/>
                  </v:rect>
                </w:pict>
              </mc:Fallback>
            </mc:AlternateContent>
          </w:r>
          <w:r>
            <w:rPr>
              <w:rStyle w:val="SubtleEmphasis"/>
              <w:caps/>
            </w:rPr>
            <w:br w:type="page"/>
          </w:r>
        </w:p>
      </w:sdtContent>
    </w:sdt>
    <w:p w14:paraId="1FBE0251" w14:textId="77777777" w:rsidR="00350CF3" w:rsidRDefault="00702BE0" w:rsidP="00702BE0">
      <w:pPr>
        <w:pStyle w:val="Title"/>
      </w:pPr>
      <w:r>
        <w:lastRenderedPageBreak/>
        <w:t>Corporate Sustainability Report</w:t>
      </w:r>
    </w:p>
    <w:p w14:paraId="576B9ED6" w14:textId="34B2ED3E" w:rsidR="00702BE0" w:rsidRDefault="00702BE0" w:rsidP="00702BE0">
      <w:pPr>
        <w:pStyle w:val="Subtitle"/>
      </w:pPr>
      <w:r>
        <w:t>Delta Stone Products</w:t>
      </w:r>
      <w:r w:rsidR="00D82A91">
        <w:t xml:space="preserve"> – reporting on the 201</w:t>
      </w:r>
      <w:r w:rsidR="00C41531">
        <w:t>9</w:t>
      </w:r>
      <w:r w:rsidR="00D82A91">
        <w:t xml:space="preserve"> calendar year </w:t>
      </w:r>
    </w:p>
    <w:p w14:paraId="56B96789" w14:textId="77777777" w:rsidR="00702BE0" w:rsidRDefault="00702BE0" w:rsidP="00702BE0">
      <w:pPr>
        <w:pStyle w:val="Heading1"/>
      </w:pPr>
      <w:r>
        <w:t>Energy Consumption</w:t>
      </w:r>
    </w:p>
    <w:p w14:paraId="21C5CCE9" w14:textId="20CA1F5D" w:rsidR="00865A21" w:rsidRPr="00865A21" w:rsidRDefault="00865A21" w:rsidP="00865A21">
      <w:pPr>
        <w:pStyle w:val="Quote"/>
        <w:rPr>
          <w:b/>
          <w:bCs/>
          <w:color w:val="8C8D86" w:themeColor="accent1"/>
        </w:rPr>
      </w:pPr>
      <w:r w:rsidRPr="00D92935">
        <w:rPr>
          <w:rStyle w:val="SubtleReference"/>
        </w:rPr>
        <w:t xml:space="preserve">It is the goal of </w:t>
      </w:r>
      <w:r>
        <w:rPr>
          <w:rStyle w:val="SubtleReference"/>
        </w:rPr>
        <w:t>Delta Stone Products to have at least a 5</w:t>
      </w:r>
      <w:r w:rsidRPr="00D92935">
        <w:rPr>
          <w:rStyle w:val="SubtleReference"/>
        </w:rPr>
        <w:t xml:space="preserve">% reduction in </w:t>
      </w:r>
      <w:r>
        <w:rPr>
          <w:rStyle w:val="SubtleReference"/>
        </w:rPr>
        <w:t>energy</w:t>
      </w:r>
      <w:r w:rsidRPr="00D92935">
        <w:rPr>
          <w:rStyle w:val="SubtleReference"/>
        </w:rPr>
        <w:t xml:space="preserve"> consumption per ton</w:t>
      </w:r>
      <w:r>
        <w:rPr>
          <w:rStyle w:val="SubtleReference"/>
        </w:rPr>
        <w:t xml:space="preserve"> of stone produced over the 201</w:t>
      </w:r>
      <w:r w:rsidR="00D361FF">
        <w:rPr>
          <w:rStyle w:val="SubtleReference"/>
        </w:rPr>
        <w:t>8</w:t>
      </w:r>
      <w:r>
        <w:rPr>
          <w:rStyle w:val="SubtleReference"/>
        </w:rPr>
        <w:t>-201</w:t>
      </w:r>
      <w:r w:rsidR="00D361FF">
        <w:rPr>
          <w:rStyle w:val="SubtleReference"/>
        </w:rPr>
        <w:t>9</w:t>
      </w:r>
      <w:r w:rsidRPr="00D92935">
        <w:rPr>
          <w:rStyle w:val="SubtleReference"/>
        </w:rPr>
        <w:t xml:space="preserve"> period, and a reduction for years following.</w:t>
      </w:r>
      <w:r>
        <w:rPr>
          <w:rStyle w:val="SubtleReference"/>
        </w:rPr>
        <w:t xml:space="preserve"> </w:t>
      </w:r>
    </w:p>
    <w:p w14:paraId="3C52CDD4" w14:textId="30B3E17F" w:rsidR="00865A21" w:rsidRPr="000821C9" w:rsidRDefault="00865A21" w:rsidP="00865A21">
      <w:pPr>
        <w:rPr>
          <w:sz w:val="18"/>
          <w:szCs w:val="18"/>
        </w:rPr>
      </w:pPr>
      <w:r w:rsidRPr="000821C9">
        <w:rPr>
          <w:sz w:val="18"/>
          <w:szCs w:val="18"/>
        </w:rPr>
        <w:t>Delta Stone Products’ operations are fueled by four energy sources: Electricity, Diesel, propane and gasoline.  Gasoline use is very minimal in comparison to diesel and propane, so gasoline consumption will not be discussed in this plan.</w:t>
      </w:r>
    </w:p>
    <w:p w14:paraId="63992D1F" w14:textId="77777777" w:rsidR="000821C9" w:rsidRPr="000821C9" w:rsidRDefault="00B35258" w:rsidP="00702BE0">
      <w:pPr>
        <w:rPr>
          <w:sz w:val="18"/>
          <w:szCs w:val="18"/>
        </w:rPr>
      </w:pPr>
      <w:r w:rsidRPr="000821C9">
        <w:rPr>
          <w:noProof/>
          <w:sz w:val="18"/>
          <w:szCs w:val="18"/>
        </w:rPr>
        <w:drawing>
          <wp:anchor distT="0" distB="0" distL="114300" distR="114300" simplePos="0" relativeHeight="251674624" behindDoc="0" locked="0" layoutInCell="1" allowOverlap="1" wp14:anchorId="63FEFFF7" wp14:editId="32CD43D8">
            <wp:simplePos x="0" y="0"/>
            <wp:positionH relativeFrom="margin">
              <wp:align>right</wp:align>
            </wp:positionH>
            <wp:positionV relativeFrom="paragraph">
              <wp:posOffset>5715</wp:posOffset>
            </wp:positionV>
            <wp:extent cx="2657475" cy="1695450"/>
            <wp:effectExtent l="0" t="0" r="9525" b="0"/>
            <wp:wrapSquare wrapText="bothSides"/>
            <wp:docPr id="3" name="Chart 3">
              <a:extLst xmlns:a="http://schemas.openxmlformats.org/drawingml/2006/main">
                <a:ext uri="{FF2B5EF4-FFF2-40B4-BE49-F238E27FC236}">
                  <a16:creationId xmlns:a16="http://schemas.microsoft.com/office/drawing/2014/main" id="{555DFD9A-192B-42DC-AFD3-2DE555AED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65A21" w:rsidRPr="000821C9">
        <w:rPr>
          <w:sz w:val="18"/>
          <w:szCs w:val="18"/>
        </w:rPr>
        <w:t xml:space="preserve">In view of the last </w:t>
      </w:r>
      <w:r w:rsidR="000821C9" w:rsidRPr="000821C9">
        <w:rPr>
          <w:sz w:val="18"/>
          <w:szCs w:val="18"/>
        </w:rPr>
        <w:t>five</w:t>
      </w:r>
      <w:r w:rsidR="00865A21" w:rsidRPr="000821C9">
        <w:rPr>
          <w:sz w:val="18"/>
          <w:szCs w:val="18"/>
        </w:rPr>
        <w:t xml:space="preserve"> years, Delta Stone Products’ energy consumption per ton of stone produced</w:t>
      </w:r>
      <w:r w:rsidR="000821C9" w:rsidRPr="000821C9">
        <w:rPr>
          <w:sz w:val="18"/>
          <w:szCs w:val="18"/>
        </w:rPr>
        <w:t xml:space="preserve"> peaked in 2016 and has declined since then.</w:t>
      </w:r>
      <w:r w:rsidR="00865A21" w:rsidRPr="000821C9">
        <w:rPr>
          <w:sz w:val="18"/>
          <w:szCs w:val="18"/>
        </w:rPr>
        <w:t xml:space="preserve"> (energy consumption is measured in Million British Thermal Units, MMBTU’s, in the chart on the right). </w:t>
      </w:r>
    </w:p>
    <w:p w14:paraId="08A95B76" w14:textId="5598D7BC" w:rsidR="00702BE0" w:rsidRPr="000821C9" w:rsidRDefault="00865A21" w:rsidP="00702BE0">
      <w:pPr>
        <w:rPr>
          <w:sz w:val="18"/>
          <w:szCs w:val="18"/>
        </w:rPr>
      </w:pPr>
      <w:r w:rsidRPr="000821C9">
        <w:rPr>
          <w:sz w:val="18"/>
          <w:szCs w:val="18"/>
        </w:rPr>
        <w:t xml:space="preserve">Breaking down energy use by category, as seen in the chart below, we see that electricity and natural gas consumption account for the large majority of the energy inventory.  This same allocation of energy sources has been consistent over the past two years that an energy inventory has been kept. </w:t>
      </w:r>
    </w:p>
    <w:p w14:paraId="46FC265D" w14:textId="2FFF1079" w:rsidR="00D361FF" w:rsidRDefault="00D82BDD" w:rsidP="00702BE0">
      <w:r>
        <w:rPr>
          <w:noProof/>
        </w:rPr>
        <w:drawing>
          <wp:anchor distT="0" distB="0" distL="114300" distR="114300" simplePos="0" relativeHeight="251672576" behindDoc="0" locked="0" layoutInCell="1" allowOverlap="1" wp14:anchorId="2BE46249" wp14:editId="06C73630">
            <wp:simplePos x="0" y="0"/>
            <wp:positionH relativeFrom="margin">
              <wp:align>right</wp:align>
            </wp:positionH>
            <wp:positionV relativeFrom="paragraph">
              <wp:posOffset>187960</wp:posOffset>
            </wp:positionV>
            <wp:extent cx="2924175" cy="3284855"/>
            <wp:effectExtent l="0" t="0" r="9525" b="10795"/>
            <wp:wrapSquare wrapText="bothSides"/>
            <wp:docPr id="9" name="Chart 9">
              <a:extLst xmlns:a="http://schemas.openxmlformats.org/drawingml/2006/main">
                <a:ext uri="{FF2B5EF4-FFF2-40B4-BE49-F238E27FC236}">
                  <a16:creationId xmlns:a16="http://schemas.microsoft.com/office/drawing/2014/main" id="{35419E95-1CB0-4C49-BF04-87ACFA37DF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991335">
        <w:rPr>
          <w:noProof/>
        </w:rPr>
        <w:drawing>
          <wp:anchor distT="0" distB="0" distL="114300" distR="114300" simplePos="0" relativeHeight="251673600" behindDoc="0" locked="0" layoutInCell="1" allowOverlap="1" wp14:anchorId="185B7785" wp14:editId="5C54C602">
            <wp:simplePos x="0" y="0"/>
            <wp:positionH relativeFrom="margin">
              <wp:align>left</wp:align>
            </wp:positionH>
            <wp:positionV relativeFrom="paragraph">
              <wp:posOffset>187960</wp:posOffset>
            </wp:positionV>
            <wp:extent cx="2952750" cy="3284855"/>
            <wp:effectExtent l="0" t="0" r="0" b="10795"/>
            <wp:wrapSquare wrapText="bothSides"/>
            <wp:docPr id="10" name="Chart 10">
              <a:extLst xmlns:a="http://schemas.openxmlformats.org/drawingml/2006/main">
                <a:ext uri="{FF2B5EF4-FFF2-40B4-BE49-F238E27FC236}">
                  <a16:creationId xmlns:a16="http://schemas.microsoft.com/office/drawing/2014/main" id="{C112DC14-B0F9-4EE9-B857-3BFEAA549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D361FF" w:rsidRPr="00D361FF">
        <w:rPr>
          <w:noProof/>
        </w:rPr>
        <w:t xml:space="preserve"> </w:t>
      </w:r>
    </w:p>
    <w:p w14:paraId="4CA6ED01" w14:textId="77777777" w:rsidR="00A27D26" w:rsidRDefault="00A27D26">
      <w:pPr>
        <w:rPr>
          <w:b/>
          <w:bCs/>
          <w:caps/>
          <w:color w:val="FFFFFF" w:themeColor="background1"/>
          <w:spacing w:val="15"/>
          <w:sz w:val="22"/>
          <w:szCs w:val="22"/>
        </w:rPr>
      </w:pPr>
      <w:r>
        <w:br w:type="page"/>
      </w:r>
    </w:p>
    <w:p w14:paraId="64267B88" w14:textId="35E27B74" w:rsidR="00702BE0" w:rsidRPr="00702BE0" w:rsidRDefault="00702BE0" w:rsidP="00702BE0">
      <w:pPr>
        <w:pStyle w:val="Heading1"/>
      </w:pPr>
      <w:r>
        <w:lastRenderedPageBreak/>
        <w:t>Air Emissions</w:t>
      </w:r>
    </w:p>
    <w:p w14:paraId="77C3A9B9" w14:textId="1A9B9DEF" w:rsidR="009819EB" w:rsidRPr="009819EB" w:rsidRDefault="009819EB" w:rsidP="009819EB">
      <w:r>
        <w:t>Delta Stone Products produces direct emissions in three categories: diesel exhaust, gasoline exhaust, and propane exhaust.  Indirect emissions include those produced by electricity generation, upstream emissions from raw material quarrying and transportation, machinery and tool manufacturing and transportation, as well as employee commute to the workplace.</w:t>
      </w:r>
    </w:p>
    <w:p w14:paraId="28530EC0" w14:textId="33A428CC" w:rsidR="009819EB" w:rsidRDefault="003A0484" w:rsidP="009819EB">
      <w:pPr>
        <w:pStyle w:val="IntenseQuote"/>
      </w:pPr>
      <w:r>
        <w:t>201</w:t>
      </w:r>
      <w:r w:rsidR="009C278E">
        <w:t>9</w:t>
      </w:r>
      <w:r w:rsidR="00842807">
        <w:t xml:space="preserve"> Total Air Emissions </w:t>
      </w:r>
    </w:p>
    <w:p w14:paraId="1569AF00" w14:textId="70B48872" w:rsidR="009819EB" w:rsidRDefault="009C278E" w:rsidP="009819EB">
      <w:pPr>
        <w:pStyle w:val="IntenseQuote"/>
        <w:rPr>
          <w:rStyle w:val="IntenseEmphasis"/>
          <w:i w:val="0"/>
          <w:caps w:val="0"/>
        </w:rPr>
      </w:pPr>
      <w:r>
        <w:rPr>
          <w:rStyle w:val="IntenseEmphasis"/>
          <w:i w:val="0"/>
        </w:rPr>
        <w:t>622</w:t>
      </w:r>
      <w:r w:rsidR="00B26948">
        <w:rPr>
          <w:rStyle w:val="IntenseEmphasis"/>
          <w:i w:val="0"/>
        </w:rPr>
        <w:t xml:space="preserve"> Tons CO2</w:t>
      </w:r>
      <w:r w:rsidR="00B26948">
        <w:rPr>
          <w:rStyle w:val="IntenseEmphasis"/>
          <w:i w:val="0"/>
          <w:caps w:val="0"/>
        </w:rPr>
        <w:t>e</w:t>
      </w:r>
    </w:p>
    <w:p w14:paraId="126B3EE9" w14:textId="77777777" w:rsidR="00B26948" w:rsidRPr="00B26948" w:rsidRDefault="00B26948" w:rsidP="00B26948"/>
    <w:p w14:paraId="3759350E" w14:textId="77777777" w:rsidR="009819EB" w:rsidRDefault="009819EB" w:rsidP="00702BE0">
      <w:r>
        <w:rPr>
          <w:noProof/>
        </w:rPr>
        <w:drawing>
          <wp:inline distT="0" distB="0" distL="0" distR="0" wp14:anchorId="392DFCB2" wp14:editId="39C80AED">
            <wp:extent cx="5943600" cy="2155586"/>
            <wp:effectExtent l="0" t="0" r="1270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552DB4" w14:textId="77777777" w:rsidR="00702BE0" w:rsidRDefault="00702BE0" w:rsidP="00702BE0">
      <w:pPr>
        <w:pStyle w:val="Heading1"/>
      </w:pPr>
      <w:r>
        <w:t>Excess Process Material</w:t>
      </w:r>
    </w:p>
    <w:p w14:paraId="02C74782" w14:textId="512E89B4" w:rsidR="00C64DEF" w:rsidRDefault="00C64DEF" w:rsidP="00FF00F3">
      <w:pPr>
        <w:pStyle w:val="Quote"/>
        <w:rPr>
          <w:rStyle w:val="SubtleReference"/>
        </w:rPr>
      </w:pPr>
      <w:r w:rsidRPr="00D92935">
        <w:rPr>
          <w:rStyle w:val="SubtleReference"/>
        </w:rPr>
        <w:t xml:space="preserve">It is the goal of </w:t>
      </w:r>
      <w:r>
        <w:rPr>
          <w:rStyle w:val="SubtleReference"/>
        </w:rPr>
        <w:t xml:space="preserve">Delta Stone Products to have a reduction in excess process materials generated and a reduction in solid waste generation </w:t>
      </w:r>
      <w:r w:rsidRPr="00D92935">
        <w:rPr>
          <w:rStyle w:val="SubtleReference"/>
        </w:rPr>
        <w:t>per ton of stone produced over the 201</w:t>
      </w:r>
      <w:r w:rsidR="00422080">
        <w:rPr>
          <w:rStyle w:val="SubtleReference"/>
        </w:rPr>
        <w:t>8</w:t>
      </w:r>
      <w:r w:rsidRPr="00D92935">
        <w:rPr>
          <w:rStyle w:val="SubtleReference"/>
        </w:rPr>
        <w:t>-201</w:t>
      </w:r>
      <w:r w:rsidR="00422080">
        <w:rPr>
          <w:rStyle w:val="SubtleReference"/>
        </w:rPr>
        <w:t>9</w:t>
      </w:r>
      <w:r w:rsidRPr="00D92935">
        <w:rPr>
          <w:rStyle w:val="SubtleReference"/>
        </w:rPr>
        <w:t xml:space="preserve"> period, and a reduction for years following.</w:t>
      </w:r>
      <w:r>
        <w:rPr>
          <w:rStyle w:val="SubtleReference"/>
        </w:rPr>
        <w:t xml:space="preserve"> </w:t>
      </w:r>
    </w:p>
    <w:p w14:paraId="320EF61B" w14:textId="77777777" w:rsidR="00702BE0" w:rsidRPr="009C4FF2" w:rsidRDefault="00C64DEF" w:rsidP="00FF00F3">
      <w:pPr>
        <w:pStyle w:val="ListParagraph"/>
        <w:ind w:left="0"/>
        <w:rPr>
          <w:rStyle w:val="SubtleReference"/>
          <w:b w:val="0"/>
          <w:bCs w:val="0"/>
          <w:color w:val="auto"/>
        </w:rPr>
      </w:pPr>
      <w:r>
        <w:t>Sludge from processing operations consists of purely silt, or sand, and will be sold to construction companies to be used as bedding sand or to Mountain Valley Stone to be used as reclamation material in the quarry. Each time a load of this material is sold, it will be tracked by DSP’s office manager so that an annual quantity can be measured.</w:t>
      </w:r>
    </w:p>
    <w:p w14:paraId="03044647" w14:textId="77E088EF" w:rsidR="00C64DEF" w:rsidRDefault="003A0484" w:rsidP="00FF00F3">
      <w:pPr>
        <w:pStyle w:val="IntenseQuote"/>
      </w:pPr>
      <w:r>
        <w:t>20</w:t>
      </w:r>
      <w:r w:rsidR="00422080">
        <w:t>1</w:t>
      </w:r>
      <w:r w:rsidR="00470A53">
        <w:t>9</w:t>
      </w:r>
      <w:r w:rsidR="00FF00F3">
        <w:t xml:space="preserve"> Estimated Sludge Generation</w:t>
      </w:r>
    </w:p>
    <w:p w14:paraId="5608BB74" w14:textId="2944B1DD" w:rsidR="00FF00F3" w:rsidRPr="00FF00F3" w:rsidRDefault="00470A53" w:rsidP="00FF00F3">
      <w:pPr>
        <w:pStyle w:val="IntenseQuote"/>
        <w:rPr>
          <w:rStyle w:val="IntenseEmphasis"/>
          <w:i w:val="0"/>
        </w:rPr>
      </w:pPr>
      <w:r>
        <w:rPr>
          <w:rStyle w:val="IntenseEmphasis"/>
          <w:i w:val="0"/>
        </w:rPr>
        <w:t>2112</w:t>
      </w:r>
      <w:r w:rsidR="003A0484">
        <w:rPr>
          <w:rStyle w:val="IntenseEmphasis"/>
          <w:i w:val="0"/>
        </w:rPr>
        <w:t xml:space="preserve"> Tons</w:t>
      </w:r>
    </w:p>
    <w:p w14:paraId="280C2AAF" w14:textId="77777777" w:rsidR="00702BE0" w:rsidRDefault="00702BE0" w:rsidP="00702BE0">
      <w:pPr>
        <w:pStyle w:val="Heading1"/>
      </w:pPr>
      <w:r>
        <w:t>Solid Waste</w:t>
      </w:r>
    </w:p>
    <w:p w14:paraId="4F86E40C" w14:textId="37335BBF" w:rsidR="008122F3" w:rsidRDefault="008122F3" w:rsidP="00702BE0">
      <w:r>
        <w:t>In 201</w:t>
      </w:r>
      <w:r w:rsidR="008841EE">
        <w:t>9</w:t>
      </w:r>
      <w:r>
        <w:t xml:space="preserve">, Delta Stone Product’s total solid waste generation increased to </w:t>
      </w:r>
      <w:r w:rsidR="008841EE">
        <w:t xml:space="preserve">64.05 </w:t>
      </w:r>
      <w:r>
        <w:t xml:space="preserve">tons from </w:t>
      </w:r>
      <w:r w:rsidR="008841EE">
        <w:t xml:space="preserve">47.39 </w:t>
      </w:r>
      <w:r>
        <w:t>tons in 20</w:t>
      </w:r>
      <w:r w:rsidR="008841EE">
        <w:t>18</w:t>
      </w:r>
      <w:r>
        <w:t xml:space="preserve">, which did not meet our reduction goal. This is most likely due to increased solid waste required for contracted jobs in which the purchaser specified large amounts of packaging materials. </w:t>
      </w:r>
      <w:r w:rsidR="00FF00F3">
        <w:t xml:space="preserve">The most substantial portion of Delta Stone Products’ solid waste inventory is packaging from imported materials, including shrink wrap, metal banding, wire mesh and other palletizing materials.  These sources of waste can best be mitigated by buying in </w:t>
      </w:r>
      <w:r w:rsidR="00FF00F3">
        <w:lastRenderedPageBreak/>
        <w:t>bulk quantities. Other forms of solid waste, including office waste, are generated, but are minimal in quantity when compared to steel and packaging materials waste.</w:t>
      </w:r>
      <w:r>
        <w:t xml:space="preserve"> </w:t>
      </w:r>
    </w:p>
    <w:p w14:paraId="05BB6BB0" w14:textId="04F6C059" w:rsidR="00FF00F3" w:rsidRDefault="003A0484" w:rsidP="00FF00F3">
      <w:pPr>
        <w:pStyle w:val="IntenseQuote"/>
      </w:pPr>
      <w:r>
        <w:t>201</w:t>
      </w:r>
      <w:r w:rsidR="00BD03BD">
        <w:t>9</w:t>
      </w:r>
      <w:r w:rsidR="00FF00F3">
        <w:t xml:space="preserve"> Solid Waste Generation</w:t>
      </w:r>
    </w:p>
    <w:p w14:paraId="021EE621" w14:textId="7565416A" w:rsidR="00FF00F3" w:rsidRDefault="00BD03BD" w:rsidP="008F0568">
      <w:pPr>
        <w:pStyle w:val="IntenseQuote"/>
        <w:spacing w:before="120"/>
        <w:rPr>
          <w:rStyle w:val="IntenseEmphasis"/>
          <w:i w:val="0"/>
        </w:rPr>
      </w:pPr>
      <w:r>
        <w:rPr>
          <w:rStyle w:val="IntenseEmphasis"/>
          <w:i w:val="0"/>
        </w:rPr>
        <w:t>64.05</w:t>
      </w:r>
      <w:r w:rsidR="00FF00F3" w:rsidRPr="00FF00F3">
        <w:rPr>
          <w:rStyle w:val="IntenseEmphasis"/>
          <w:i w:val="0"/>
        </w:rPr>
        <w:t xml:space="preserve"> Tons</w:t>
      </w:r>
    </w:p>
    <w:p w14:paraId="604EFB0F" w14:textId="77777777" w:rsidR="00422080" w:rsidRPr="00422080" w:rsidRDefault="00422080" w:rsidP="00422080"/>
    <w:p w14:paraId="1E9519AF" w14:textId="2E6A599F" w:rsidR="00422080" w:rsidRDefault="00422080" w:rsidP="00422080">
      <w:pPr>
        <w:pStyle w:val="IntenseQuote"/>
      </w:pPr>
      <w:r>
        <w:t>201</w:t>
      </w:r>
      <w:r w:rsidR="00942AF3">
        <w:t>9</w:t>
      </w:r>
      <w:r>
        <w:t xml:space="preserve"> Recycled Solid Waste</w:t>
      </w:r>
    </w:p>
    <w:p w14:paraId="77A02C87" w14:textId="7C75D8A0" w:rsidR="00422080" w:rsidRPr="00422080" w:rsidRDefault="00BD03BD" w:rsidP="00422080">
      <w:pPr>
        <w:pStyle w:val="IntenseQuote"/>
        <w:spacing w:before="120"/>
        <w:rPr>
          <w:rStyle w:val="IntenseEmphasis"/>
          <w:i w:val="0"/>
        </w:rPr>
      </w:pPr>
      <w:r>
        <w:rPr>
          <w:rStyle w:val="IntenseEmphasis"/>
          <w:i w:val="0"/>
        </w:rPr>
        <w:t>12.42</w:t>
      </w:r>
      <w:r w:rsidR="00422080" w:rsidRPr="00422080">
        <w:rPr>
          <w:rStyle w:val="IntenseEmphasis"/>
          <w:i w:val="0"/>
        </w:rPr>
        <w:t xml:space="preserve"> Tons</w:t>
      </w:r>
    </w:p>
    <w:p w14:paraId="541E04AD" w14:textId="77777777" w:rsidR="00422080" w:rsidRDefault="00422080" w:rsidP="00FF00F3">
      <w:pPr>
        <w:pStyle w:val="Quote"/>
        <w:rPr>
          <w:rStyle w:val="SubtleReference"/>
          <w:i w:val="0"/>
        </w:rPr>
      </w:pPr>
    </w:p>
    <w:p w14:paraId="766F3363" w14:textId="7FCF708E" w:rsidR="00FF00F3" w:rsidRDefault="00FF00F3" w:rsidP="00FF00F3">
      <w:pPr>
        <w:pStyle w:val="Quote"/>
        <w:rPr>
          <w:rStyle w:val="SubtleReference"/>
          <w:i w:val="0"/>
        </w:rPr>
      </w:pPr>
      <w:r w:rsidRPr="00FF00F3">
        <w:rPr>
          <w:rStyle w:val="SubtleReference"/>
          <w:i w:val="0"/>
        </w:rPr>
        <w:t>In 2013, Delta Stone Products invested heavily in a technology upgrade, providing most employees with a mobile device of some sort so that paper was practically eliminated. This has reduced paper waste in the office drastically</w:t>
      </w:r>
      <w:r>
        <w:rPr>
          <w:rStyle w:val="SubtleReference"/>
          <w:i w:val="0"/>
        </w:rPr>
        <w:t>.</w:t>
      </w:r>
    </w:p>
    <w:p w14:paraId="23134E09" w14:textId="77777777" w:rsidR="00FF00F3" w:rsidRDefault="00FF00F3" w:rsidP="00FF00F3">
      <w:r>
        <w:t>The largest quantity of replacements and most expensive good used in processing is the saw blades. Saw blades are made of solid steel with a diamond-composite tip. Because the diamond composite absorbs all the wear on these blades, there is an opportunity to re-tip the blades and save the expense and waste of the steel body.  When blades are worn out, they are returned to the manufacturer to be restored and then used again. This practice will continue in Delta Stone’s operations, and other opportunities for restoration or recycling will be sought out continually.</w:t>
      </w:r>
    </w:p>
    <w:p w14:paraId="36A57D6C" w14:textId="77777777" w:rsidR="00FF00F3" w:rsidRDefault="00FF00F3" w:rsidP="00FF00F3">
      <w:pPr>
        <w:pStyle w:val="Heading1"/>
      </w:pPr>
      <w:r>
        <w:t>Chemicals</w:t>
      </w:r>
    </w:p>
    <w:p w14:paraId="05C95D06" w14:textId="211AE449" w:rsidR="00C63D18" w:rsidRDefault="00FF00F3" w:rsidP="008F5E34">
      <w:r>
        <w:t xml:space="preserve">The safety and health of employees is of top priority at Delta Stone Products. </w:t>
      </w:r>
      <w:r w:rsidR="008F5E34">
        <w:t>In order to</w:t>
      </w:r>
      <w:r>
        <w:t xml:space="preserve"> create a more environmentally friendly workplace and decrease the hazard</w:t>
      </w:r>
      <w:r w:rsidR="008F5E34">
        <w:t>s</w:t>
      </w:r>
      <w:r>
        <w:t xml:space="preserve"> posed to employees, the following chemicals were eliminated</w:t>
      </w:r>
      <w:r w:rsidR="008F5E34">
        <w:t xml:space="preserve"> from operations in 201</w:t>
      </w:r>
      <w:r w:rsidR="00422080">
        <w:t>7</w:t>
      </w:r>
      <w:r w:rsidR="008F5E34">
        <w:t>. Processes have been adjusted or alternative chemicals have been identified as replacem</w:t>
      </w:r>
      <w:r w:rsidR="00C63D18">
        <w:t xml:space="preserve">ents. </w:t>
      </w:r>
    </w:p>
    <w:p w14:paraId="0A19E985" w14:textId="2565AF45" w:rsidR="00C63D18" w:rsidRDefault="00C63D18" w:rsidP="008F5E34">
      <w:pPr>
        <w:sectPr w:rsidR="00C63D18" w:rsidSect="00C63D18">
          <w:headerReference w:type="default" r:id="rId13"/>
          <w:pgSz w:w="12240" w:h="15840"/>
          <w:pgMar w:top="1440" w:right="1440" w:bottom="1440" w:left="1440" w:header="288" w:footer="720" w:gutter="0"/>
          <w:cols w:space="720"/>
          <w:docGrid w:linePitch="360"/>
        </w:sectPr>
      </w:pPr>
    </w:p>
    <w:p w14:paraId="1F2044FF" w14:textId="77777777" w:rsidR="008F5E34" w:rsidRPr="008F5E34" w:rsidRDefault="008F5E34" w:rsidP="008F5E34">
      <w:pPr>
        <w:rPr>
          <w:rStyle w:val="IntenseEmphasis"/>
        </w:rPr>
      </w:pPr>
      <w:r w:rsidRPr="008F5E34">
        <w:rPr>
          <w:rStyle w:val="IntenseEmphasis"/>
        </w:rPr>
        <w:t>Lifetime Waterproof Sealing</w:t>
      </w:r>
    </w:p>
    <w:p w14:paraId="3403AE86" w14:textId="77777777" w:rsidR="008F5E34" w:rsidRPr="008F5E34" w:rsidRDefault="008F5E34" w:rsidP="008F5E34">
      <w:pPr>
        <w:pStyle w:val="ListParagraph"/>
        <w:ind w:left="450" w:firstLine="270"/>
        <w:rPr>
          <w:rStyle w:val="SubtleEmphasis"/>
        </w:rPr>
      </w:pPr>
      <w:r w:rsidRPr="008F5E34">
        <w:rPr>
          <w:rStyle w:val="SubtleEmphasis"/>
        </w:rPr>
        <w:t>Carcinogenic</w:t>
      </w:r>
    </w:p>
    <w:p w14:paraId="0C4B13E3" w14:textId="77777777" w:rsidR="008F5E34" w:rsidRPr="008F5E34" w:rsidRDefault="008F5E34" w:rsidP="008F5E34">
      <w:pPr>
        <w:rPr>
          <w:rStyle w:val="IntenseEmphasis"/>
        </w:rPr>
      </w:pPr>
      <w:r w:rsidRPr="008F5E34">
        <w:rPr>
          <w:rStyle w:val="IntenseEmphasis"/>
        </w:rPr>
        <w:t>Touchstone Express II (Parts A &amp; B)</w:t>
      </w:r>
    </w:p>
    <w:p w14:paraId="3746B0B3" w14:textId="77777777" w:rsidR="008F5E34" w:rsidRPr="008F5E34" w:rsidRDefault="008F5E34" w:rsidP="008F5E34">
      <w:pPr>
        <w:pStyle w:val="ListParagraph"/>
        <w:ind w:left="450"/>
        <w:rPr>
          <w:rStyle w:val="SubtleEmphasis"/>
        </w:rPr>
      </w:pPr>
      <w:r w:rsidRPr="008F5E34">
        <w:rPr>
          <w:rStyle w:val="SubtleEmphasis"/>
        </w:rPr>
        <w:tab/>
        <w:t>Developmental Toxicity</w:t>
      </w:r>
    </w:p>
    <w:p w14:paraId="2DF59693" w14:textId="77777777" w:rsidR="008F5E34" w:rsidRPr="008F5E34" w:rsidRDefault="008F5E34" w:rsidP="008F5E34">
      <w:pPr>
        <w:pStyle w:val="ListParagraph"/>
        <w:ind w:left="450"/>
        <w:rPr>
          <w:rStyle w:val="SubtleEmphasis"/>
        </w:rPr>
      </w:pPr>
      <w:r w:rsidRPr="008F5E34">
        <w:rPr>
          <w:rStyle w:val="SubtleEmphasis"/>
        </w:rPr>
        <w:tab/>
        <w:t>Endocrine Disruptor</w:t>
      </w:r>
    </w:p>
    <w:p w14:paraId="419E4D2F" w14:textId="77777777" w:rsidR="008F5E34" w:rsidRPr="008F5E34" w:rsidRDefault="008F5E34" w:rsidP="008F5E34">
      <w:pPr>
        <w:pStyle w:val="ListParagraph"/>
        <w:ind w:left="450"/>
        <w:rPr>
          <w:rStyle w:val="SubtleEmphasis"/>
        </w:rPr>
      </w:pPr>
      <w:r w:rsidRPr="008F5E34">
        <w:rPr>
          <w:rStyle w:val="SubtleEmphasis"/>
        </w:rPr>
        <w:tab/>
        <w:t>Toxic to reproduction</w:t>
      </w:r>
    </w:p>
    <w:p w14:paraId="7103DE5C" w14:textId="77777777" w:rsidR="008F5E34" w:rsidRPr="008F5E34" w:rsidRDefault="008F5E34" w:rsidP="008F5E34">
      <w:pPr>
        <w:pStyle w:val="ListParagraph"/>
        <w:ind w:left="450"/>
        <w:rPr>
          <w:rStyle w:val="SubtleEmphasis"/>
        </w:rPr>
      </w:pPr>
      <w:r w:rsidRPr="008F5E34">
        <w:rPr>
          <w:rStyle w:val="SubtleEmphasis"/>
        </w:rPr>
        <w:tab/>
        <w:t>Reproductive Toxicity – Female</w:t>
      </w:r>
    </w:p>
    <w:p w14:paraId="3C766AE7" w14:textId="77777777" w:rsidR="008F5E34" w:rsidRPr="008F5E34" w:rsidRDefault="008F5E34" w:rsidP="008F5E34">
      <w:pPr>
        <w:rPr>
          <w:rStyle w:val="IntenseEmphasis"/>
        </w:rPr>
      </w:pPr>
      <w:r w:rsidRPr="008F5E34">
        <w:rPr>
          <w:rStyle w:val="IntenseEmphasis"/>
        </w:rPr>
        <w:t>Historic Restoration Mortar</w:t>
      </w:r>
    </w:p>
    <w:p w14:paraId="25F006F2" w14:textId="77777777" w:rsidR="008F5E34" w:rsidRPr="008F5E34" w:rsidRDefault="008F5E34" w:rsidP="008F5E34">
      <w:pPr>
        <w:pStyle w:val="ListParagraph"/>
        <w:ind w:left="450"/>
        <w:rPr>
          <w:rStyle w:val="SubtleEmphasis"/>
        </w:rPr>
      </w:pPr>
      <w:r>
        <w:tab/>
      </w:r>
      <w:r w:rsidRPr="008F5E34">
        <w:rPr>
          <w:rStyle w:val="SubtleEmphasis"/>
        </w:rPr>
        <w:t>Carcinogenic to humans if inhaled</w:t>
      </w:r>
    </w:p>
    <w:p w14:paraId="04474264" w14:textId="77777777" w:rsidR="008F5E34" w:rsidRPr="008F5E34" w:rsidRDefault="008F5E34" w:rsidP="008F5E34">
      <w:pPr>
        <w:pStyle w:val="ListParagraph"/>
        <w:ind w:left="450"/>
        <w:rPr>
          <w:rStyle w:val="SubtleEmphasis"/>
        </w:rPr>
      </w:pPr>
      <w:r w:rsidRPr="008F5E34">
        <w:rPr>
          <w:rStyle w:val="SubtleEmphasis"/>
        </w:rPr>
        <w:tab/>
        <w:t>Persistent bio-accumulative toxin</w:t>
      </w:r>
    </w:p>
    <w:p w14:paraId="3CCAACF4" w14:textId="77777777" w:rsidR="008F5E34" w:rsidRPr="008F5E34" w:rsidRDefault="008F5E34" w:rsidP="008F5E34">
      <w:pPr>
        <w:pStyle w:val="ListParagraph"/>
        <w:ind w:left="450"/>
        <w:rPr>
          <w:rStyle w:val="SubtleEmphasis"/>
        </w:rPr>
      </w:pPr>
      <w:r w:rsidRPr="008F5E34">
        <w:rPr>
          <w:rStyle w:val="SubtleEmphasis"/>
        </w:rPr>
        <w:tab/>
        <w:t>Carcinogenic</w:t>
      </w:r>
    </w:p>
    <w:p w14:paraId="4659D013" w14:textId="77777777" w:rsidR="008F5E34" w:rsidRPr="008F5E34" w:rsidRDefault="008F5E34" w:rsidP="008F5E34">
      <w:pPr>
        <w:pStyle w:val="ListParagraph"/>
        <w:ind w:left="450"/>
        <w:rPr>
          <w:rStyle w:val="SubtleEmphasis"/>
        </w:rPr>
      </w:pPr>
      <w:r w:rsidRPr="008F5E34">
        <w:rPr>
          <w:rStyle w:val="SubtleEmphasis"/>
        </w:rPr>
        <w:tab/>
        <w:t>Developmental Toxicity</w:t>
      </w:r>
    </w:p>
    <w:p w14:paraId="7E905505" w14:textId="77777777" w:rsidR="008F5E34" w:rsidRPr="008F5E34" w:rsidRDefault="008F5E34" w:rsidP="008F5E34">
      <w:pPr>
        <w:pStyle w:val="ListParagraph"/>
        <w:ind w:left="450"/>
        <w:rPr>
          <w:rStyle w:val="SubtleEmphasis"/>
        </w:rPr>
      </w:pPr>
      <w:r w:rsidRPr="008F5E34">
        <w:rPr>
          <w:rStyle w:val="SubtleEmphasis"/>
        </w:rPr>
        <w:tab/>
        <w:t>Reproductive Toxicity</w:t>
      </w:r>
    </w:p>
    <w:p w14:paraId="021AA525" w14:textId="77777777" w:rsidR="008F5E34" w:rsidRPr="008F5E34" w:rsidRDefault="008F5E34" w:rsidP="008F5E34">
      <w:pPr>
        <w:pStyle w:val="ListParagraph"/>
        <w:ind w:left="450"/>
        <w:rPr>
          <w:rStyle w:val="SubtleEmphasis"/>
        </w:rPr>
      </w:pPr>
      <w:r w:rsidRPr="008F5E34">
        <w:rPr>
          <w:rStyle w:val="SubtleEmphasis"/>
        </w:rPr>
        <w:tab/>
        <w:t>Known to impair fertility</w:t>
      </w:r>
    </w:p>
    <w:p w14:paraId="127F2A88" w14:textId="77777777" w:rsidR="008F5E34" w:rsidRPr="008F5E34" w:rsidRDefault="008F5E34" w:rsidP="008F5E34">
      <w:pPr>
        <w:rPr>
          <w:rStyle w:val="IntenseEmphasis"/>
        </w:rPr>
      </w:pPr>
      <w:r w:rsidRPr="008F5E34">
        <w:rPr>
          <w:rStyle w:val="IntenseEmphasis"/>
        </w:rPr>
        <w:t>Jasco Premium Paint and Epoxy Remover</w:t>
      </w:r>
    </w:p>
    <w:p w14:paraId="338F6EA3" w14:textId="77777777" w:rsidR="008F5E34" w:rsidRPr="008F5E34" w:rsidRDefault="008F5E34" w:rsidP="008F5E34">
      <w:pPr>
        <w:pStyle w:val="ListParagraph"/>
        <w:ind w:left="450"/>
        <w:rPr>
          <w:rStyle w:val="SubtleEmphasis"/>
        </w:rPr>
      </w:pPr>
      <w:r w:rsidRPr="008F5E34">
        <w:rPr>
          <w:rStyle w:val="SubtleEmphasis"/>
        </w:rPr>
        <w:tab/>
        <w:t>Carcinogenic to humans</w:t>
      </w:r>
    </w:p>
    <w:p w14:paraId="209424C8" w14:textId="77777777" w:rsidR="008F5E34" w:rsidRPr="008F5E34" w:rsidRDefault="008F5E34" w:rsidP="008F5E34">
      <w:pPr>
        <w:pStyle w:val="ListParagraph"/>
        <w:ind w:left="450"/>
        <w:rPr>
          <w:rStyle w:val="SubtleEmphasis"/>
        </w:rPr>
      </w:pPr>
      <w:r w:rsidRPr="008F5E34">
        <w:rPr>
          <w:rStyle w:val="SubtleEmphasis"/>
        </w:rPr>
        <w:tab/>
        <w:t>OSHA – cancer causing substance</w:t>
      </w:r>
    </w:p>
    <w:p w14:paraId="6E53BDA8" w14:textId="77777777" w:rsidR="008F5E34" w:rsidRPr="008F5E34" w:rsidRDefault="008F5E34" w:rsidP="008F5E34">
      <w:pPr>
        <w:rPr>
          <w:rStyle w:val="IntenseEmphasis"/>
        </w:rPr>
      </w:pPr>
      <w:r w:rsidRPr="008F5E34">
        <w:rPr>
          <w:rStyle w:val="IntenseEmphasis"/>
        </w:rPr>
        <w:t>Denatured Alcohol</w:t>
      </w:r>
    </w:p>
    <w:p w14:paraId="1D9FCE4B" w14:textId="77777777" w:rsidR="008F5E34" w:rsidRPr="008F5E34" w:rsidRDefault="008F5E34" w:rsidP="008F5E34">
      <w:pPr>
        <w:pStyle w:val="ListParagraph"/>
        <w:ind w:left="450"/>
        <w:rPr>
          <w:rStyle w:val="SubtleEmphasis"/>
        </w:rPr>
      </w:pPr>
      <w:r>
        <w:tab/>
      </w:r>
      <w:r w:rsidRPr="008F5E34">
        <w:rPr>
          <w:rStyle w:val="SubtleEmphasis"/>
        </w:rPr>
        <w:t>Carcinogenic to humans</w:t>
      </w:r>
    </w:p>
    <w:p w14:paraId="16B9DB41" w14:textId="77777777" w:rsidR="008F5E34" w:rsidRPr="008F5E34" w:rsidRDefault="008F5E34" w:rsidP="008F5E34">
      <w:pPr>
        <w:pStyle w:val="ListParagraph"/>
        <w:ind w:left="450"/>
        <w:rPr>
          <w:rStyle w:val="SubtleEmphasis"/>
        </w:rPr>
      </w:pPr>
      <w:r w:rsidRPr="008F5E34">
        <w:rPr>
          <w:rStyle w:val="SubtleEmphasis"/>
        </w:rPr>
        <w:tab/>
        <w:t>Developmental Toxicity</w:t>
      </w:r>
    </w:p>
    <w:p w14:paraId="731D1571" w14:textId="77777777" w:rsidR="008F5E34" w:rsidRPr="008F5E34" w:rsidRDefault="008F5E34" w:rsidP="008F5E34">
      <w:pPr>
        <w:rPr>
          <w:rStyle w:val="IntenseEmphasis"/>
        </w:rPr>
      </w:pPr>
      <w:r w:rsidRPr="008F5E34">
        <w:rPr>
          <w:rStyle w:val="IntenseEmphasis"/>
        </w:rPr>
        <w:t>Rust-Oleum High Performance Enamel Aerosol (spray paint)</w:t>
      </w:r>
    </w:p>
    <w:p w14:paraId="3DCC7F2B" w14:textId="77777777" w:rsidR="008F5E34" w:rsidRPr="008F5E34" w:rsidRDefault="008F5E34" w:rsidP="008F5E34">
      <w:pPr>
        <w:spacing w:before="0" w:after="0"/>
        <w:rPr>
          <w:rStyle w:val="SubtleEmphasis"/>
        </w:rPr>
      </w:pPr>
      <w:r w:rsidRPr="008F5E34">
        <w:rPr>
          <w:rStyle w:val="SubtleEmphasis"/>
        </w:rPr>
        <w:tab/>
        <w:t>Reproductive Toxicity – female</w:t>
      </w:r>
    </w:p>
    <w:p w14:paraId="69377CD8" w14:textId="77777777" w:rsidR="008F5E34" w:rsidRPr="008F5E34" w:rsidRDefault="008F5E34" w:rsidP="008F5E34">
      <w:pPr>
        <w:spacing w:before="0" w:after="0"/>
        <w:rPr>
          <w:rStyle w:val="SubtleEmphasis"/>
        </w:rPr>
      </w:pPr>
      <w:r w:rsidRPr="008F5E34">
        <w:rPr>
          <w:rStyle w:val="SubtleEmphasis"/>
        </w:rPr>
        <w:tab/>
        <w:t>Carcinogenic to man</w:t>
      </w:r>
    </w:p>
    <w:p w14:paraId="10BD5DB6" w14:textId="77777777" w:rsidR="008F5E34" w:rsidRPr="008F5E34" w:rsidRDefault="008F5E34" w:rsidP="008F5E34">
      <w:pPr>
        <w:spacing w:before="0" w:after="0"/>
        <w:rPr>
          <w:rStyle w:val="SubtleEmphasis"/>
        </w:rPr>
      </w:pPr>
      <w:r w:rsidRPr="008F5E34">
        <w:rPr>
          <w:rStyle w:val="SubtleEmphasis"/>
        </w:rPr>
        <w:tab/>
        <w:t>Mutagenic to man</w:t>
      </w:r>
    </w:p>
    <w:p w14:paraId="4BC0D087" w14:textId="77777777" w:rsidR="00702BE0" w:rsidRPr="008F5E34" w:rsidRDefault="008F5E34" w:rsidP="008F5E34">
      <w:pPr>
        <w:spacing w:before="0" w:after="0"/>
        <w:rPr>
          <w:color w:val="454642" w:themeColor="accent1" w:themeShade="7F"/>
        </w:rPr>
      </w:pPr>
      <w:r w:rsidRPr="008F5E34">
        <w:rPr>
          <w:rStyle w:val="SubtleEmphasis"/>
        </w:rPr>
        <w:tab/>
        <w:t>OSHA – cancer causing substance</w:t>
      </w:r>
    </w:p>
    <w:sectPr w:rsidR="00702BE0" w:rsidRPr="008F5E34" w:rsidSect="00C63D18">
      <w:type w:val="continuous"/>
      <w:pgSz w:w="12240" w:h="15840"/>
      <w:pgMar w:top="1440" w:right="1440" w:bottom="1440" w:left="144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72879" w14:textId="77777777" w:rsidR="00D55AA2" w:rsidRDefault="00D55AA2" w:rsidP="00865A21">
      <w:pPr>
        <w:spacing w:before="0" w:after="0" w:line="240" w:lineRule="auto"/>
      </w:pPr>
      <w:r>
        <w:separator/>
      </w:r>
    </w:p>
  </w:endnote>
  <w:endnote w:type="continuationSeparator" w:id="0">
    <w:p w14:paraId="21BC8CD5" w14:textId="77777777" w:rsidR="00D55AA2" w:rsidRDefault="00D55AA2" w:rsidP="00865A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05DE" w14:textId="77777777" w:rsidR="00D55AA2" w:rsidRDefault="00D55AA2" w:rsidP="00865A21">
      <w:pPr>
        <w:spacing w:before="0" w:after="0" w:line="240" w:lineRule="auto"/>
      </w:pPr>
      <w:r>
        <w:separator/>
      </w:r>
    </w:p>
  </w:footnote>
  <w:footnote w:type="continuationSeparator" w:id="0">
    <w:p w14:paraId="28EE642A" w14:textId="77777777" w:rsidR="00D55AA2" w:rsidRDefault="00D55AA2" w:rsidP="00865A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6D25" w14:textId="77777777" w:rsidR="00865A21" w:rsidRDefault="00865A21" w:rsidP="00C63D1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E0"/>
    <w:rsid w:val="00012F48"/>
    <w:rsid w:val="000821C9"/>
    <w:rsid w:val="001352E5"/>
    <w:rsid w:val="00145EFA"/>
    <w:rsid w:val="001E629A"/>
    <w:rsid w:val="00267FB0"/>
    <w:rsid w:val="0027455C"/>
    <w:rsid w:val="00281220"/>
    <w:rsid w:val="002E0983"/>
    <w:rsid w:val="002E69CC"/>
    <w:rsid w:val="00354379"/>
    <w:rsid w:val="003A0484"/>
    <w:rsid w:val="00422080"/>
    <w:rsid w:val="00427F18"/>
    <w:rsid w:val="00433AFF"/>
    <w:rsid w:val="0044022E"/>
    <w:rsid w:val="004645E8"/>
    <w:rsid w:val="00470A53"/>
    <w:rsid w:val="00486B92"/>
    <w:rsid w:val="004B44D4"/>
    <w:rsid w:val="004F0EEF"/>
    <w:rsid w:val="00583DE0"/>
    <w:rsid w:val="005851AE"/>
    <w:rsid w:val="006B52BE"/>
    <w:rsid w:val="006E2C1C"/>
    <w:rsid w:val="00702BE0"/>
    <w:rsid w:val="00735C6A"/>
    <w:rsid w:val="008122F3"/>
    <w:rsid w:val="00842807"/>
    <w:rsid w:val="00865A21"/>
    <w:rsid w:val="008841EE"/>
    <w:rsid w:val="008F0568"/>
    <w:rsid w:val="008F5E34"/>
    <w:rsid w:val="00942AF3"/>
    <w:rsid w:val="00942EF7"/>
    <w:rsid w:val="009819EB"/>
    <w:rsid w:val="00991335"/>
    <w:rsid w:val="009C278E"/>
    <w:rsid w:val="009C4FF2"/>
    <w:rsid w:val="00A27D26"/>
    <w:rsid w:val="00B26948"/>
    <w:rsid w:val="00B35258"/>
    <w:rsid w:val="00BA0F9B"/>
    <w:rsid w:val="00BA3926"/>
    <w:rsid w:val="00BD03BD"/>
    <w:rsid w:val="00BE3B09"/>
    <w:rsid w:val="00C41531"/>
    <w:rsid w:val="00C46283"/>
    <w:rsid w:val="00C63D18"/>
    <w:rsid w:val="00C64DEF"/>
    <w:rsid w:val="00D033F9"/>
    <w:rsid w:val="00D361FF"/>
    <w:rsid w:val="00D55AA2"/>
    <w:rsid w:val="00D81B59"/>
    <w:rsid w:val="00D82A91"/>
    <w:rsid w:val="00D82BDD"/>
    <w:rsid w:val="00E04DD6"/>
    <w:rsid w:val="00F0513F"/>
    <w:rsid w:val="00FF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3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2BE0"/>
    <w:rPr>
      <w:sz w:val="20"/>
      <w:szCs w:val="20"/>
    </w:rPr>
  </w:style>
  <w:style w:type="paragraph" w:styleId="Heading1">
    <w:name w:val="heading 1"/>
    <w:basedOn w:val="Normal"/>
    <w:next w:val="Normal"/>
    <w:link w:val="Heading1Char"/>
    <w:uiPriority w:val="9"/>
    <w:qFormat/>
    <w:rsid w:val="00702BE0"/>
    <w:pPr>
      <w:pBdr>
        <w:top w:val="single" w:sz="24" w:space="0" w:color="8C8D86" w:themeColor="accent1"/>
        <w:left w:val="single" w:sz="24" w:space="0" w:color="8C8D86" w:themeColor="accent1"/>
        <w:bottom w:val="single" w:sz="24" w:space="0" w:color="8C8D86" w:themeColor="accent1"/>
        <w:right w:val="single" w:sz="24" w:space="0" w:color="8C8D86" w:themeColor="accent1"/>
      </w:pBdr>
      <w:shd w:val="clear" w:color="auto" w:fill="8C8D8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02BE0"/>
    <w:pPr>
      <w:pBdr>
        <w:top w:val="single" w:sz="24" w:space="0" w:color="E8E8E6" w:themeColor="accent1" w:themeTint="33"/>
        <w:left w:val="single" w:sz="24" w:space="0" w:color="E8E8E6" w:themeColor="accent1" w:themeTint="33"/>
        <w:bottom w:val="single" w:sz="24" w:space="0" w:color="E8E8E6" w:themeColor="accent1" w:themeTint="33"/>
        <w:right w:val="single" w:sz="24" w:space="0" w:color="E8E8E6" w:themeColor="accent1" w:themeTint="33"/>
      </w:pBdr>
      <w:shd w:val="clear" w:color="auto" w:fill="E8E8E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02BE0"/>
    <w:pPr>
      <w:pBdr>
        <w:top w:val="single" w:sz="6" w:space="2" w:color="8C8D86" w:themeColor="accent1"/>
        <w:left w:val="single" w:sz="6" w:space="2" w:color="8C8D86" w:themeColor="accent1"/>
      </w:pBdr>
      <w:spacing w:before="300" w:after="0"/>
      <w:outlineLvl w:val="2"/>
    </w:pPr>
    <w:rPr>
      <w:caps/>
      <w:color w:val="454642" w:themeColor="accent1" w:themeShade="7F"/>
      <w:spacing w:val="15"/>
      <w:sz w:val="22"/>
      <w:szCs w:val="22"/>
    </w:rPr>
  </w:style>
  <w:style w:type="paragraph" w:styleId="Heading4">
    <w:name w:val="heading 4"/>
    <w:basedOn w:val="Normal"/>
    <w:next w:val="Normal"/>
    <w:link w:val="Heading4Char"/>
    <w:uiPriority w:val="9"/>
    <w:semiHidden/>
    <w:unhideWhenUsed/>
    <w:qFormat/>
    <w:rsid w:val="00702BE0"/>
    <w:pPr>
      <w:pBdr>
        <w:top w:val="dotted" w:sz="6" w:space="2" w:color="8C8D86" w:themeColor="accent1"/>
        <w:left w:val="dotted" w:sz="6" w:space="2" w:color="8C8D86" w:themeColor="accent1"/>
      </w:pBdr>
      <w:spacing w:before="300" w:after="0"/>
      <w:outlineLvl w:val="3"/>
    </w:pPr>
    <w:rPr>
      <w:caps/>
      <w:color w:val="686963" w:themeColor="accent1" w:themeShade="BF"/>
      <w:spacing w:val="10"/>
      <w:sz w:val="22"/>
      <w:szCs w:val="22"/>
    </w:rPr>
  </w:style>
  <w:style w:type="paragraph" w:styleId="Heading5">
    <w:name w:val="heading 5"/>
    <w:basedOn w:val="Normal"/>
    <w:next w:val="Normal"/>
    <w:link w:val="Heading5Char"/>
    <w:uiPriority w:val="9"/>
    <w:semiHidden/>
    <w:unhideWhenUsed/>
    <w:qFormat/>
    <w:rsid w:val="00702BE0"/>
    <w:pPr>
      <w:pBdr>
        <w:bottom w:val="single" w:sz="6" w:space="1" w:color="8C8D86" w:themeColor="accent1"/>
      </w:pBdr>
      <w:spacing w:before="300" w:after="0"/>
      <w:outlineLvl w:val="4"/>
    </w:pPr>
    <w:rPr>
      <w:caps/>
      <w:color w:val="686963" w:themeColor="accent1" w:themeShade="BF"/>
      <w:spacing w:val="10"/>
      <w:sz w:val="22"/>
      <w:szCs w:val="22"/>
    </w:rPr>
  </w:style>
  <w:style w:type="paragraph" w:styleId="Heading6">
    <w:name w:val="heading 6"/>
    <w:basedOn w:val="Normal"/>
    <w:next w:val="Normal"/>
    <w:link w:val="Heading6Char"/>
    <w:uiPriority w:val="9"/>
    <w:semiHidden/>
    <w:unhideWhenUsed/>
    <w:qFormat/>
    <w:rsid w:val="00702BE0"/>
    <w:pPr>
      <w:pBdr>
        <w:bottom w:val="dotted" w:sz="6" w:space="1" w:color="8C8D86" w:themeColor="accent1"/>
      </w:pBdr>
      <w:spacing w:before="300" w:after="0"/>
      <w:outlineLvl w:val="5"/>
    </w:pPr>
    <w:rPr>
      <w:caps/>
      <w:color w:val="686963" w:themeColor="accent1" w:themeShade="BF"/>
      <w:spacing w:val="10"/>
      <w:sz w:val="22"/>
      <w:szCs w:val="22"/>
    </w:rPr>
  </w:style>
  <w:style w:type="paragraph" w:styleId="Heading7">
    <w:name w:val="heading 7"/>
    <w:basedOn w:val="Normal"/>
    <w:next w:val="Normal"/>
    <w:link w:val="Heading7Char"/>
    <w:uiPriority w:val="9"/>
    <w:semiHidden/>
    <w:unhideWhenUsed/>
    <w:qFormat/>
    <w:rsid w:val="00702BE0"/>
    <w:pPr>
      <w:spacing w:before="300" w:after="0"/>
      <w:outlineLvl w:val="6"/>
    </w:pPr>
    <w:rPr>
      <w:caps/>
      <w:color w:val="686963" w:themeColor="accent1" w:themeShade="BF"/>
      <w:spacing w:val="10"/>
      <w:sz w:val="22"/>
      <w:szCs w:val="22"/>
    </w:rPr>
  </w:style>
  <w:style w:type="paragraph" w:styleId="Heading8">
    <w:name w:val="heading 8"/>
    <w:basedOn w:val="Normal"/>
    <w:next w:val="Normal"/>
    <w:link w:val="Heading8Char"/>
    <w:uiPriority w:val="9"/>
    <w:semiHidden/>
    <w:unhideWhenUsed/>
    <w:qFormat/>
    <w:rsid w:val="00702BE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02BE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2BE0"/>
    <w:pPr>
      <w:spacing w:before="720"/>
    </w:pPr>
    <w:rPr>
      <w:caps/>
      <w:color w:val="8C8D86" w:themeColor="accent1"/>
      <w:spacing w:val="10"/>
      <w:kern w:val="28"/>
      <w:sz w:val="52"/>
      <w:szCs w:val="52"/>
    </w:rPr>
  </w:style>
  <w:style w:type="character" w:customStyle="1" w:styleId="TitleChar">
    <w:name w:val="Title Char"/>
    <w:basedOn w:val="DefaultParagraphFont"/>
    <w:link w:val="Title"/>
    <w:uiPriority w:val="10"/>
    <w:rsid w:val="00702BE0"/>
    <w:rPr>
      <w:caps/>
      <w:color w:val="8C8D86" w:themeColor="accent1"/>
      <w:spacing w:val="10"/>
      <w:kern w:val="28"/>
      <w:sz w:val="52"/>
      <w:szCs w:val="52"/>
    </w:rPr>
  </w:style>
  <w:style w:type="paragraph" w:styleId="Subtitle">
    <w:name w:val="Subtitle"/>
    <w:basedOn w:val="Normal"/>
    <w:next w:val="Normal"/>
    <w:link w:val="SubtitleChar"/>
    <w:uiPriority w:val="11"/>
    <w:qFormat/>
    <w:rsid w:val="00702BE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02BE0"/>
    <w:rPr>
      <w:caps/>
      <w:color w:val="595959" w:themeColor="text1" w:themeTint="A6"/>
      <w:spacing w:val="10"/>
      <w:sz w:val="24"/>
      <w:szCs w:val="24"/>
    </w:rPr>
  </w:style>
  <w:style w:type="character" w:customStyle="1" w:styleId="Heading1Char">
    <w:name w:val="Heading 1 Char"/>
    <w:basedOn w:val="DefaultParagraphFont"/>
    <w:link w:val="Heading1"/>
    <w:uiPriority w:val="9"/>
    <w:rsid w:val="00702BE0"/>
    <w:rPr>
      <w:b/>
      <w:bCs/>
      <w:caps/>
      <w:color w:val="FFFFFF" w:themeColor="background1"/>
      <w:spacing w:val="15"/>
      <w:shd w:val="clear" w:color="auto" w:fill="8C8D86" w:themeFill="accent1"/>
    </w:rPr>
  </w:style>
  <w:style w:type="character" w:customStyle="1" w:styleId="Heading2Char">
    <w:name w:val="Heading 2 Char"/>
    <w:basedOn w:val="DefaultParagraphFont"/>
    <w:link w:val="Heading2"/>
    <w:uiPriority w:val="9"/>
    <w:semiHidden/>
    <w:rsid w:val="00702BE0"/>
    <w:rPr>
      <w:caps/>
      <w:spacing w:val="15"/>
      <w:shd w:val="clear" w:color="auto" w:fill="E8E8E6" w:themeFill="accent1" w:themeFillTint="33"/>
    </w:rPr>
  </w:style>
  <w:style w:type="character" w:customStyle="1" w:styleId="Heading3Char">
    <w:name w:val="Heading 3 Char"/>
    <w:basedOn w:val="DefaultParagraphFont"/>
    <w:link w:val="Heading3"/>
    <w:uiPriority w:val="9"/>
    <w:semiHidden/>
    <w:rsid w:val="00702BE0"/>
    <w:rPr>
      <w:caps/>
      <w:color w:val="454642" w:themeColor="accent1" w:themeShade="7F"/>
      <w:spacing w:val="15"/>
    </w:rPr>
  </w:style>
  <w:style w:type="character" w:customStyle="1" w:styleId="Heading4Char">
    <w:name w:val="Heading 4 Char"/>
    <w:basedOn w:val="DefaultParagraphFont"/>
    <w:link w:val="Heading4"/>
    <w:uiPriority w:val="9"/>
    <w:semiHidden/>
    <w:rsid w:val="00702BE0"/>
    <w:rPr>
      <w:caps/>
      <w:color w:val="686963" w:themeColor="accent1" w:themeShade="BF"/>
      <w:spacing w:val="10"/>
    </w:rPr>
  </w:style>
  <w:style w:type="character" w:customStyle="1" w:styleId="Heading5Char">
    <w:name w:val="Heading 5 Char"/>
    <w:basedOn w:val="DefaultParagraphFont"/>
    <w:link w:val="Heading5"/>
    <w:uiPriority w:val="9"/>
    <w:semiHidden/>
    <w:rsid w:val="00702BE0"/>
    <w:rPr>
      <w:caps/>
      <w:color w:val="686963" w:themeColor="accent1" w:themeShade="BF"/>
      <w:spacing w:val="10"/>
    </w:rPr>
  </w:style>
  <w:style w:type="character" w:customStyle="1" w:styleId="Heading6Char">
    <w:name w:val="Heading 6 Char"/>
    <w:basedOn w:val="DefaultParagraphFont"/>
    <w:link w:val="Heading6"/>
    <w:uiPriority w:val="9"/>
    <w:semiHidden/>
    <w:rsid w:val="00702BE0"/>
    <w:rPr>
      <w:caps/>
      <w:color w:val="686963" w:themeColor="accent1" w:themeShade="BF"/>
      <w:spacing w:val="10"/>
    </w:rPr>
  </w:style>
  <w:style w:type="character" w:customStyle="1" w:styleId="Heading7Char">
    <w:name w:val="Heading 7 Char"/>
    <w:basedOn w:val="DefaultParagraphFont"/>
    <w:link w:val="Heading7"/>
    <w:uiPriority w:val="9"/>
    <w:semiHidden/>
    <w:rsid w:val="00702BE0"/>
    <w:rPr>
      <w:caps/>
      <w:color w:val="686963" w:themeColor="accent1" w:themeShade="BF"/>
      <w:spacing w:val="10"/>
    </w:rPr>
  </w:style>
  <w:style w:type="character" w:customStyle="1" w:styleId="Heading8Char">
    <w:name w:val="Heading 8 Char"/>
    <w:basedOn w:val="DefaultParagraphFont"/>
    <w:link w:val="Heading8"/>
    <w:uiPriority w:val="9"/>
    <w:semiHidden/>
    <w:rsid w:val="00702BE0"/>
    <w:rPr>
      <w:caps/>
      <w:spacing w:val="10"/>
      <w:sz w:val="18"/>
      <w:szCs w:val="18"/>
    </w:rPr>
  </w:style>
  <w:style w:type="character" w:customStyle="1" w:styleId="Heading9Char">
    <w:name w:val="Heading 9 Char"/>
    <w:basedOn w:val="DefaultParagraphFont"/>
    <w:link w:val="Heading9"/>
    <w:uiPriority w:val="9"/>
    <w:semiHidden/>
    <w:rsid w:val="00702BE0"/>
    <w:rPr>
      <w:i/>
      <w:caps/>
      <w:spacing w:val="10"/>
      <w:sz w:val="18"/>
      <w:szCs w:val="18"/>
    </w:rPr>
  </w:style>
  <w:style w:type="paragraph" w:styleId="Caption">
    <w:name w:val="caption"/>
    <w:basedOn w:val="Normal"/>
    <w:next w:val="Normal"/>
    <w:uiPriority w:val="35"/>
    <w:semiHidden/>
    <w:unhideWhenUsed/>
    <w:qFormat/>
    <w:rsid w:val="00702BE0"/>
    <w:rPr>
      <w:b/>
      <w:bCs/>
      <w:color w:val="686963" w:themeColor="accent1" w:themeShade="BF"/>
      <w:sz w:val="16"/>
      <w:szCs w:val="16"/>
    </w:rPr>
  </w:style>
  <w:style w:type="character" w:styleId="Strong">
    <w:name w:val="Strong"/>
    <w:uiPriority w:val="22"/>
    <w:qFormat/>
    <w:rsid w:val="00702BE0"/>
    <w:rPr>
      <w:b/>
      <w:bCs/>
    </w:rPr>
  </w:style>
  <w:style w:type="character" w:styleId="Emphasis">
    <w:name w:val="Emphasis"/>
    <w:uiPriority w:val="20"/>
    <w:qFormat/>
    <w:rsid w:val="00702BE0"/>
    <w:rPr>
      <w:caps/>
      <w:color w:val="454642" w:themeColor="accent1" w:themeShade="7F"/>
      <w:spacing w:val="5"/>
    </w:rPr>
  </w:style>
  <w:style w:type="paragraph" w:styleId="NoSpacing">
    <w:name w:val="No Spacing"/>
    <w:basedOn w:val="Normal"/>
    <w:link w:val="NoSpacingChar"/>
    <w:uiPriority w:val="1"/>
    <w:qFormat/>
    <w:rsid w:val="00702BE0"/>
    <w:pPr>
      <w:spacing w:before="0" w:after="0" w:line="240" w:lineRule="auto"/>
    </w:pPr>
  </w:style>
  <w:style w:type="character" w:customStyle="1" w:styleId="NoSpacingChar">
    <w:name w:val="No Spacing Char"/>
    <w:basedOn w:val="DefaultParagraphFont"/>
    <w:link w:val="NoSpacing"/>
    <w:uiPriority w:val="1"/>
    <w:rsid w:val="00702BE0"/>
    <w:rPr>
      <w:sz w:val="20"/>
      <w:szCs w:val="20"/>
    </w:rPr>
  </w:style>
  <w:style w:type="paragraph" w:styleId="ListParagraph">
    <w:name w:val="List Paragraph"/>
    <w:basedOn w:val="Normal"/>
    <w:uiPriority w:val="34"/>
    <w:qFormat/>
    <w:rsid w:val="00702BE0"/>
    <w:pPr>
      <w:ind w:left="720"/>
      <w:contextualSpacing/>
    </w:pPr>
  </w:style>
  <w:style w:type="paragraph" w:styleId="Quote">
    <w:name w:val="Quote"/>
    <w:basedOn w:val="Normal"/>
    <w:next w:val="Normal"/>
    <w:link w:val="QuoteChar"/>
    <w:uiPriority w:val="29"/>
    <w:qFormat/>
    <w:rsid w:val="00702BE0"/>
    <w:rPr>
      <w:i/>
      <w:iCs/>
    </w:rPr>
  </w:style>
  <w:style w:type="character" w:customStyle="1" w:styleId="QuoteChar">
    <w:name w:val="Quote Char"/>
    <w:basedOn w:val="DefaultParagraphFont"/>
    <w:link w:val="Quote"/>
    <w:uiPriority w:val="29"/>
    <w:rsid w:val="00702BE0"/>
    <w:rPr>
      <w:i/>
      <w:iCs/>
      <w:sz w:val="20"/>
      <w:szCs w:val="20"/>
    </w:rPr>
  </w:style>
  <w:style w:type="paragraph" w:styleId="IntenseQuote">
    <w:name w:val="Intense Quote"/>
    <w:basedOn w:val="Normal"/>
    <w:next w:val="Normal"/>
    <w:link w:val="IntenseQuoteChar"/>
    <w:uiPriority w:val="30"/>
    <w:qFormat/>
    <w:rsid w:val="00702BE0"/>
    <w:pPr>
      <w:pBdr>
        <w:top w:val="single" w:sz="4" w:space="10" w:color="8C8D86" w:themeColor="accent1"/>
        <w:left w:val="single" w:sz="4" w:space="10" w:color="8C8D86" w:themeColor="accent1"/>
      </w:pBdr>
      <w:spacing w:after="0"/>
      <w:ind w:left="1296" w:right="1152"/>
      <w:jc w:val="both"/>
    </w:pPr>
    <w:rPr>
      <w:i/>
      <w:iCs/>
      <w:color w:val="8C8D86" w:themeColor="accent1"/>
    </w:rPr>
  </w:style>
  <w:style w:type="character" w:customStyle="1" w:styleId="IntenseQuoteChar">
    <w:name w:val="Intense Quote Char"/>
    <w:basedOn w:val="DefaultParagraphFont"/>
    <w:link w:val="IntenseQuote"/>
    <w:uiPriority w:val="30"/>
    <w:rsid w:val="00702BE0"/>
    <w:rPr>
      <w:i/>
      <w:iCs/>
      <w:color w:val="8C8D86" w:themeColor="accent1"/>
      <w:sz w:val="20"/>
      <w:szCs w:val="20"/>
    </w:rPr>
  </w:style>
  <w:style w:type="character" w:styleId="SubtleEmphasis">
    <w:name w:val="Subtle Emphasis"/>
    <w:uiPriority w:val="19"/>
    <w:qFormat/>
    <w:rsid w:val="00FF00F3"/>
    <w:rPr>
      <w:color w:val="454642" w:themeColor="accent1" w:themeShade="7F"/>
    </w:rPr>
  </w:style>
  <w:style w:type="character" w:styleId="IntenseEmphasis">
    <w:name w:val="Intense Emphasis"/>
    <w:uiPriority w:val="21"/>
    <w:qFormat/>
    <w:rsid w:val="00702BE0"/>
    <w:rPr>
      <w:b/>
      <w:bCs/>
      <w:caps/>
      <w:color w:val="454642" w:themeColor="accent1" w:themeShade="7F"/>
      <w:spacing w:val="10"/>
    </w:rPr>
  </w:style>
  <w:style w:type="character" w:styleId="SubtleReference">
    <w:name w:val="Subtle Reference"/>
    <w:uiPriority w:val="31"/>
    <w:qFormat/>
    <w:rsid w:val="00702BE0"/>
    <w:rPr>
      <w:b/>
      <w:bCs/>
      <w:color w:val="8C8D86" w:themeColor="accent1"/>
    </w:rPr>
  </w:style>
  <w:style w:type="character" w:styleId="IntenseReference">
    <w:name w:val="Intense Reference"/>
    <w:uiPriority w:val="32"/>
    <w:qFormat/>
    <w:rsid w:val="00702BE0"/>
    <w:rPr>
      <w:b/>
      <w:bCs/>
      <w:i/>
      <w:iCs/>
      <w:caps/>
      <w:color w:val="8C8D86" w:themeColor="accent1"/>
    </w:rPr>
  </w:style>
  <w:style w:type="character" w:styleId="BookTitle">
    <w:name w:val="Book Title"/>
    <w:uiPriority w:val="33"/>
    <w:qFormat/>
    <w:rsid w:val="00702BE0"/>
    <w:rPr>
      <w:b/>
      <w:bCs/>
      <w:i/>
      <w:iCs/>
      <w:spacing w:val="9"/>
    </w:rPr>
  </w:style>
  <w:style w:type="paragraph" w:styleId="TOCHeading">
    <w:name w:val="TOC Heading"/>
    <w:basedOn w:val="Heading1"/>
    <w:next w:val="Normal"/>
    <w:uiPriority w:val="39"/>
    <w:semiHidden/>
    <w:unhideWhenUsed/>
    <w:qFormat/>
    <w:rsid w:val="00702BE0"/>
    <w:pPr>
      <w:outlineLvl w:val="9"/>
    </w:pPr>
  </w:style>
  <w:style w:type="paragraph" w:styleId="Header">
    <w:name w:val="header"/>
    <w:basedOn w:val="Normal"/>
    <w:link w:val="HeaderChar"/>
    <w:uiPriority w:val="99"/>
    <w:unhideWhenUsed/>
    <w:rsid w:val="00865A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5A21"/>
    <w:rPr>
      <w:sz w:val="20"/>
      <w:szCs w:val="20"/>
    </w:rPr>
  </w:style>
  <w:style w:type="paragraph" w:styleId="Footer">
    <w:name w:val="footer"/>
    <w:basedOn w:val="Normal"/>
    <w:link w:val="FooterChar"/>
    <w:uiPriority w:val="99"/>
    <w:unhideWhenUsed/>
    <w:rsid w:val="00865A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5A21"/>
    <w:rPr>
      <w:sz w:val="20"/>
      <w:szCs w:val="20"/>
    </w:rPr>
  </w:style>
  <w:style w:type="paragraph" w:styleId="BalloonText">
    <w:name w:val="Balloon Text"/>
    <w:basedOn w:val="Normal"/>
    <w:link w:val="BalloonTextChar"/>
    <w:uiPriority w:val="99"/>
    <w:semiHidden/>
    <w:unhideWhenUsed/>
    <w:rsid w:val="001E62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62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ront%20Desk%20-%20DSP\Dropbox\Delta%20Stone\Sustainability%20Documentation\Delta%20Stone%20Products\10%20Energy\Yearly%20Energy%20Inventory%20DS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ront%20Desk%20-%20DSP\Dropbox\Delta%20Stone\Sustainability%20Documentation\Delta%20Stone%20Products\10%20Energy\Yearly%20Energy%20Inventory%20DS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ront%20Desk%20-%20DSP\Dropbox\Delta%20Stone\Sustainability%20Documentation\Delta%20Stone%20Products\10%20Energy\Yearly%20Energy%20Inventory%20DS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MMBTU/Total</a:t>
            </a:r>
            <a:r>
              <a:rPr lang="en-US" baseline="0"/>
              <a:t> Revenue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'2019'!$A$4:$E$4</c:f>
              <c:numCache>
                <c:formatCode>General</c:formatCode>
                <c:ptCount val="5"/>
                <c:pt idx="0">
                  <c:v>2015</c:v>
                </c:pt>
                <c:pt idx="1">
                  <c:v>2016</c:v>
                </c:pt>
                <c:pt idx="2">
                  <c:v>2017</c:v>
                </c:pt>
                <c:pt idx="3">
                  <c:v>2018</c:v>
                </c:pt>
                <c:pt idx="4">
                  <c:v>2019</c:v>
                </c:pt>
              </c:numCache>
            </c:numRef>
          </c:cat>
          <c:val>
            <c:numRef>
              <c:f>'2019'!$A$5:$E$5</c:f>
              <c:numCache>
                <c:formatCode>#,##0.0000000</c:formatCode>
                <c:ptCount val="5"/>
                <c:pt idx="0">
                  <c:v>1.4246331985284838E-3</c:v>
                </c:pt>
                <c:pt idx="1">
                  <c:v>1.5281460467782119E-3</c:v>
                </c:pt>
                <c:pt idx="2">
                  <c:v>1.4314890471801595E-3</c:v>
                </c:pt>
                <c:pt idx="3">
                  <c:v>1.2957489005322423E-3</c:v>
                </c:pt>
                <c:pt idx="4">
                  <c:v>1.3798976457396737E-3</c:v>
                </c:pt>
              </c:numCache>
            </c:numRef>
          </c:val>
          <c:extLst>
            <c:ext xmlns:c16="http://schemas.microsoft.com/office/drawing/2014/chart" uri="{C3380CC4-5D6E-409C-BE32-E72D297353CC}">
              <c16:uniqueId val="{00000000-6560-43BF-AE8F-6D0461CEAE72}"/>
            </c:ext>
          </c:extLst>
        </c:ser>
        <c:dLbls>
          <c:showLegendKey val="0"/>
          <c:showVal val="0"/>
          <c:showCatName val="0"/>
          <c:showSerName val="0"/>
          <c:showPercent val="0"/>
          <c:showBubbleSize val="0"/>
        </c:dLbls>
        <c:gapWidth val="219"/>
        <c:overlap val="-27"/>
        <c:axId val="1904632272"/>
        <c:axId val="1940066208"/>
      </c:barChart>
      <c:catAx>
        <c:axId val="190463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066208"/>
        <c:crosses val="autoZero"/>
        <c:auto val="1"/>
        <c:lblAlgn val="ctr"/>
        <c:lblOffset val="100"/>
        <c:noMultiLvlLbl val="0"/>
      </c:catAx>
      <c:valAx>
        <c:axId val="1940066208"/>
        <c:scaling>
          <c:orientation val="minMax"/>
        </c:scaling>
        <c:delete val="0"/>
        <c:axPos val="l"/>
        <c:majorGridlines>
          <c:spPr>
            <a:ln w="9525" cap="flat" cmpd="sng" algn="ctr">
              <a:solidFill>
                <a:schemeClr val="tx1">
                  <a:lumMod val="15000"/>
                  <a:lumOff val="85000"/>
                </a:schemeClr>
              </a:solidFill>
              <a:round/>
            </a:ln>
            <a:effectLst/>
          </c:spPr>
        </c:majorGridlines>
        <c:numFmt formatCode="#,##0.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63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600" b="1" i="0" u="none" strike="noStrike" kern="1200" cap="all" spc="0" baseline="0">
                <a:solidFill>
                  <a:sysClr val="windowText" lastClr="000000">
                    <a:lumMod val="65000"/>
                    <a:lumOff val="35000"/>
                  </a:sysClr>
                </a:solidFill>
                <a:latin typeface="+mn-lt"/>
                <a:ea typeface="+mn-ea"/>
                <a:cs typeface="+mn-cs"/>
              </a:defRPr>
            </a:pPr>
            <a:r>
              <a:rPr lang="en-US" sz="1600" b="1" i="0" u="none" strike="noStrike" kern="1200" cap="all" baseline="0">
                <a:solidFill>
                  <a:sysClr val="windowText" lastClr="000000">
                    <a:lumMod val="65000"/>
                    <a:lumOff val="35000"/>
                  </a:sysClr>
                </a:solidFill>
                <a:latin typeface="+mn-lt"/>
                <a:ea typeface="+mn-ea"/>
                <a:cs typeface="+mn-cs"/>
              </a:rPr>
              <a:t>2019 Renewable Energy Sources in Electricity</a:t>
            </a:r>
          </a:p>
        </c:rich>
      </c:tx>
      <c:overlay val="0"/>
      <c:spPr>
        <a:noFill/>
        <a:ln>
          <a:noFill/>
        </a:ln>
        <a:effectLst/>
      </c:spPr>
      <c:txPr>
        <a:bodyPr rot="0" spcFirstLastPara="1" vertOverflow="ellipsis" vert="horz" wrap="square" anchor="ctr" anchorCtr="1"/>
        <a:lstStyle/>
        <a:p>
          <a:pPr algn="ctr" rtl="0">
            <a:defRPr lang="en-US" sz="1600" b="1" i="0" u="none" strike="noStrike" kern="1200" cap="all"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46-45A2-B10D-BF753D7723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46-45A2-B10D-BF753D7723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46-45A2-B10D-BF753D7723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46-45A2-B10D-BF753D77233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A46-45A2-B10D-BF753D772335}"/>
              </c:ext>
            </c:extLst>
          </c:dPt>
          <c:dLbls>
            <c:dLbl>
              <c:idx val="0"/>
              <c:layout>
                <c:manualLayout>
                  <c:x val="-1.3029144972513774E-2"/>
                  <c:y val="-3.5778925736824338E-1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949353553028095"/>
                      <c:h val="0.14590747877826749"/>
                    </c:manualLayout>
                  </c15:layout>
                </c:ext>
                <c:ext xmlns:c16="http://schemas.microsoft.com/office/drawing/2014/chart" uri="{C3380CC4-5D6E-409C-BE32-E72D297353CC}">
                  <c16:uniqueId val="{00000001-2A46-45A2-B10D-BF753D772335}"/>
                </c:ext>
              </c:extLst>
            </c:dLbl>
            <c:dLbl>
              <c:idx val="2"/>
              <c:layout>
                <c:manualLayout>
                  <c:x val="-2.1058931151522963E-3"/>
                  <c:y val="0.1218600748676907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296536629989658"/>
                      <c:h val="0.14590747877826749"/>
                    </c:manualLayout>
                  </c15:layout>
                </c:ext>
                <c:ext xmlns:c16="http://schemas.microsoft.com/office/drawing/2014/chart" uri="{C3380CC4-5D6E-409C-BE32-E72D297353CC}">
                  <c16:uniqueId val="{00000005-2A46-45A2-B10D-BF753D772335}"/>
                </c:ext>
              </c:extLst>
            </c:dLbl>
            <c:dLbl>
              <c:idx val="3"/>
              <c:layout>
                <c:manualLayout>
                  <c:x val="-0.11934156378600826"/>
                  <c:y val="-1.951600312256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A46-45A2-B10D-BF753D772335}"/>
                </c:ext>
              </c:extLst>
            </c:dLbl>
            <c:dLbl>
              <c:idx val="4"/>
              <c:layout>
                <c:manualLayout>
                  <c:x val="-4.6252361777253414E-4"/>
                  <c:y val="2.341920374707256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635042362375708"/>
                      <c:h val="0.19060219931524952"/>
                    </c:manualLayout>
                  </c15:layout>
                </c:ext>
                <c:ext xmlns:c16="http://schemas.microsoft.com/office/drawing/2014/chart" uri="{C3380CC4-5D6E-409C-BE32-E72D297353CC}">
                  <c16:uniqueId val="{00000009-2A46-45A2-B10D-BF753D772335}"/>
                </c:ext>
              </c:extLst>
            </c:dLbl>
            <c:spPr>
              <a:solidFill>
                <a:sysClr val="window" lastClr="FFFFFF"/>
              </a:solidFill>
              <a:ln>
                <a:noFill/>
              </a:ln>
              <a:effectLst/>
            </c:spPr>
            <c:txPr>
              <a:bodyPr rot="0" spcFirstLastPara="1" vertOverflow="clip" horzOverflow="clip" vert="horz" wrap="square" lIns="38100" tIns="19050" rIns="38100" bIns="19050" anchor="ctr" anchorCtr="0">
                <a:spAutoFit/>
              </a:bodyPr>
              <a:lstStyle/>
              <a:p>
                <a:pPr algn="ctr" rtl="0">
                  <a:defRPr lang="en-US" sz="1000" b="1" i="0" u="none" strike="noStrike" kern="1200" spc="0" baseline="0">
                    <a:solidFill>
                      <a:srgbClr val="4EB3CF"/>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'2019'!$A$16:$E$16</c:f>
              <c:strCache>
                <c:ptCount val="5"/>
                <c:pt idx="0">
                  <c:v>Hydropower</c:v>
                </c:pt>
                <c:pt idx="1">
                  <c:v>Wind</c:v>
                </c:pt>
                <c:pt idx="2">
                  <c:v>Geothermal, Solar</c:v>
                </c:pt>
                <c:pt idx="3">
                  <c:v>Market Power</c:v>
                </c:pt>
                <c:pt idx="4">
                  <c:v>Non-Renewable Sources</c:v>
                </c:pt>
              </c:strCache>
            </c:strRef>
          </c:cat>
          <c:val>
            <c:numRef>
              <c:f>'2019'!$A$17:$E$17</c:f>
              <c:numCache>
                <c:formatCode>0%</c:formatCode>
                <c:ptCount val="5"/>
                <c:pt idx="0">
                  <c:v>0.25</c:v>
                </c:pt>
                <c:pt idx="1">
                  <c:v>0.03</c:v>
                </c:pt>
                <c:pt idx="2">
                  <c:v>0.06</c:v>
                </c:pt>
                <c:pt idx="3">
                  <c:v>0.45</c:v>
                </c:pt>
                <c:pt idx="4">
                  <c:v>0.21</c:v>
                </c:pt>
              </c:numCache>
            </c:numRef>
          </c:val>
          <c:extLst>
            <c:ext xmlns:c16="http://schemas.microsoft.com/office/drawing/2014/chart" uri="{C3380CC4-5D6E-409C-BE32-E72D297353CC}">
              <c16:uniqueId val="{0000000A-2A46-45A2-B10D-BF753D77233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2019 Energy Inventory by</a:t>
            </a:r>
            <a:r>
              <a:rPr lang="en-US" baseline="0"/>
              <a:t> source</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E70-4393-9845-1BDD0FF840F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E70-4393-9845-1BDD0FF840F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E70-4393-9845-1BDD0FF840F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E70-4393-9845-1BDD0FF840F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E70-4393-9845-1BDD0FF840FC}"/>
              </c:ext>
            </c:extLst>
          </c:dPt>
          <c:dLbls>
            <c:dLbl>
              <c:idx val="0"/>
              <c:layout>
                <c:manualLayout>
                  <c:x val="-1.6129032258064675E-2"/>
                  <c:y val="-9.02314633189486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167741935483871"/>
                      <c:h val="0.14523342487249902"/>
                    </c:manualLayout>
                  </c15:layout>
                </c:ext>
                <c:ext xmlns:c16="http://schemas.microsoft.com/office/drawing/2014/chart" uri="{C3380CC4-5D6E-409C-BE32-E72D297353CC}">
                  <c16:uniqueId val="{00000001-6E70-4393-9845-1BDD0FF840F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6E70-4393-9845-1BDD0FF840F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6E70-4393-9845-1BDD0FF840F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6E70-4393-9845-1BDD0FF840FC}"/>
                </c:ext>
              </c:extLst>
            </c:dLbl>
            <c:dLbl>
              <c:idx val="4"/>
              <c:layout>
                <c:manualLayout>
                  <c:x val="5.5913978494623658E-2"/>
                  <c:y val="-0.2785406041584935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E70-4393-9845-1BDD0FF840FC}"/>
                </c:ext>
              </c:extLst>
            </c:dLbl>
            <c:spPr>
              <a:noFill/>
              <a:ln>
                <a:noFill/>
              </a:ln>
              <a:effectLst/>
            </c:spPr>
            <c:dLblPos val="outEnd"/>
            <c:showLegendKey val="0"/>
            <c:showVal val="0"/>
            <c:showCatName val="1"/>
            <c:showSerName val="0"/>
            <c:showPercent val="1"/>
            <c:showBubbleSize val="0"/>
            <c:showLeaderLines val="1"/>
            <c:leaderLines>
              <c:spPr>
                <a:ln w="9525" cap="flat" cmpd="sng" algn="ctr">
                  <a:noFill/>
                  <a:round/>
                </a:ln>
                <a:effectLst/>
              </c:spPr>
            </c:leaderLines>
            <c:extLst>
              <c:ext xmlns:c15="http://schemas.microsoft.com/office/drawing/2012/chart" uri="{CE6537A1-D6FC-4f65-9D91-7224C49458BB}"/>
            </c:extLst>
          </c:dLbls>
          <c:cat>
            <c:strRef>
              <c:f>'2019'!$A$10:$E$10</c:f>
              <c:strCache>
                <c:ptCount val="5"/>
                <c:pt idx="0">
                  <c:v>Electricity</c:v>
                </c:pt>
                <c:pt idx="1">
                  <c:v>Diesel</c:v>
                </c:pt>
                <c:pt idx="2">
                  <c:v>Propane</c:v>
                </c:pt>
                <c:pt idx="4">
                  <c:v>Natural Gas</c:v>
                </c:pt>
              </c:strCache>
            </c:strRef>
          </c:cat>
          <c:val>
            <c:numRef>
              <c:f>'2019'!$A$11:$E$11</c:f>
              <c:numCache>
                <c:formatCode>0.00%</c:formatCode>
                <c:ptCount val="5"/>
                <c:pt idx="0">
                  <c:v>0.36449999999999999</c:v>
                </c:pt>
                <c:pt idx="1">
                  <c:v>0.10589999999999999</c:v>
                </c:pt>
                <c:pt idx="2">
                  <c:v>5.0999999999999997E-2</c:v>
                </c:pt>
                <c:pt idx="4">
                  <c:v>0.47870000000000001</c:v>
                </c:pt>
              </c:numCache>
            </c:numRef>
          </c:val>
          <c:extLst>
            <c:ext xmlns:c16="http://schemas.microsoft.com/office/drawing/2014/chart" uri="{C3380CC4-5D6E-409C-BE32-E72D297353CC}">
              <c16:uniqueId val="{0000000A-6E70-4393-9845-1BDD0FF840FC}"/>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Source of Direct Emissions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Source of Emissions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843-714D-92FA-CF5A1F0D21B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843-714D-92FA-CF5A1F0D21B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843-714D-92FA-CF5A1F0D21B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843-714D-92FA-CF5A1F0D21B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4696-C14A-9255-2BD643F73AB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6843-714D-92FA-CF5A1F0D21B4}"/>
                </c:ext>
              </c:extLst>
            </c:dLbl>
            <c:dLbl>
              <c:idx val="1"/>
              <c:layout>
                <c:manualLayout>
                  <c:x val="9.8290598290598288E-2"/>
                  <c:y val="5.89275191514437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43-714D-92FA-CF5A1F0D21B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6843-714D-92FA-CF5A1F0D21B4}"/>
                </c:ext>
              </c:extLst>
            </c:dLbl>
            <c:dLbl>
              <c:idx val="3"/>
              <c:layout>
                <c:manualLayout>
                  <c:x val="4.8723652155492E-2"/>
                  <c:y val="1.7523364485981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43-714D-92FA-CF5A1F0D21B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8-4696-C14A-9255-2BD643F73AB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Generators</c:v>
                </c:pt>
                <c:pt idx="1">
                  <c:v>Compressors</c:v>
                </c:pt>
                <c:pt idx="2">
                  <c:v>Pickups</c:v>
                </c:pt>
                <c:pt idx="3">
                  <c:v>Wheel Loaders</c:v>
                </c:pt>
                <c:pt idx="4">
                  <c:v>Forklifts</c:v>
                </c:pt>
              </c:strCache>
            </c:strRef>
          </c:cat>
          <c:val>
            <c:numRef>
              <c:f>Sheet1!$B$2:$B$6</c:f>
              <c:numCache>
                <c:formatCode>General</c:formatCode>
                <c:ptCount val="5"/>
                <c:pt idx="0">
                  <c:v>7.5149999999999997</c:v>
                </c:pt>
                <c:pt idx="1">
                  <c:v>9.7424999999999997</c:v>
                </c:pt>
                <c:pt idx="2">
                  <c:v>294.86250000000001</c:v>
                </c:pt>
                <c:pt idx="3">
                  <c:v>194.85</c:v>
                </c:pt>
                <c:pt idx="4">
                  <c:v>181.61324999999999</c:v>
                </c:pt>
              </c:numCache>
            </c:numRef>
          </c:val>
          <c:extLst>
            <c:ext xmlns:c16="http://schemas.microsoft.com/office/drawing/2014/chart" uri="{C3380CC4-5D6E-409C-BE32-E72D297353CC}">
              <c16:uniqueId val="{00000008-6843-714D-92FA-CF5A1F0D21B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B6EAD3-755A-4D02-9A2A-6EFED0A9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Corporate Sustainability Report</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Sustainability Report</dc:title>
  <dc:subject>Delta Stone Products</dc:subject>
  <dc:creator>For public Notice</dc:creator>
  <cp:keywords/>
  <dc:description/>
  <cp:lastModifiedBy>Delta Stone Front Desk</cp:lastModifiedBy>
  <cp:revision>4</cp:revision>
  <cp:lastPrinted>2017-07-11T20:46:00Z</cp:lastPrinted>
  <dcterms:created xsi:type="dcterms:W3CDTF">2020-07-28T17:17:00Z</dcterms:created>
  <dcterms:modified xsi:type="dcterms:W3CDTF">2020-09-10T16:17:00Z</dcterms:modified>
</cp:coreProperties>
</file>